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0570B2F3" w14:textId="77777777" w:rsidR="00A84BF7" w:rsidRDefault="00A84BF7" w:rsidP="000B0AE9">
      <w:pPr>
        <w:rPr>
          <w:rFonts w:ascii="Arial" w:hAnsi="Arial"/>
          <w:b/>
          <w:color w:val="000000" w:themeColor="text1"/>
          <w:sz w:val="22"/>
          <w:lang w:val="en-US"/>
        </w:rPr>
      </w:pPr>
    </w:p>
    <w:p w14:paraId="4F8DCFB2" w14:textId="77777777" w:rsidR="00A84BF7" w:rsidRDefault="00A84BF7" w:rsidP="000B0AE9">
      <w:pPr>
        <w:rPr>
          <w:rFonts w:ascii="Arial" w:hAnsi="Arial"/>
          <w:b/>
          <w:color w:val="000000" w:themeColor="text1"/>
          <w:sz w:val="22"/>
          <w:lang w:val="en-US"/>
        </w:rPr>
      </w:pPr>
    </w:p>
    <w:p w14:paraId="343609BD" w14:textId="5CD62E21" w:rsidR="000B0AE9" w:rsidRPr="00A84BF7" w:rsidRDefault="000A7158" w:rsidP="000B0AE9">
      <w:pPr>
        <w:rPr>
          <w:rFonts w:ascii="Arial" w:hAnsi="Arial"/>
          <w:color w:val="000000" w:themeColor="text1"/>
          <w:sz w:val="22"/>
          <w:szCs w:val="22"/>
          <w:lang w:val="en-US"/>
        </w:rPr>
      </w:pPr>
      <w:r w:rsidRPr="00A84BF7">
        <w:rPr>
          <w:rFonts w:ascii="Arial" w:hAnsi="Arial"/>
          <w:b/>
          <w:color w:val="000000" w:themeColor="text1"/>
          <w:sz w:val="22"/>
          <w:szCs w:val="22"/>
          <w:lang w:val="en-US"/>
        </w:rPr>
        <w:t>Title of the PhD project:</w:t>
      </w:r>
      <w:r w:rsidR="000B0AE9" w:rsidRPr="00A84BF7">
        <w:rPr>
          <w:rFonts w:ascii="Arial" w:hAnsi="Arial"/>
          <w:b/>
          <w:color w:val="000000" w:themeColor="text1"/>
          <w:sz w:val="22"/>
          <w:szCs w:val="22"/>
          <w:lang w:val="en-US"/>
        </w:rPr>
        <w:t xml:space="preserve"> </w:t>
      </w:r>
      <w:r w:rsidR="00B4793B" w:rsidRPr="00A84BF7">
        <w:rPr>
          <w:rFonts w:ascii="Arial" w:hAnsi="Arial"/>
          <w:color w:val="000000" w:themeColor="text1"/>
          <w:sz w:val="22"/>
          <w:szCs w:val="22"/>
          <w:lang w:val="en-US"/>
        </w:rPr>
        <w:t>Unraveling the molecular mechanism of type IIB topoisomerases</w:t>
      </w:r>
    </w:p>
    <w:p w14:paraId="20CEAFAB" w14:textId="472B5803" w:rsidR="000B0AE9" w:rsidRPr="00A84BF7" w:rsidRDefault="000B0AE9" w:rsidP="000B0AE9">
      <w:pPr>
        <w:rPr>
          <w:rFonts w:ascii="Arial" w:hAnsi="Arial"/>
          <w:color w:val="000000" w:themeColor="text1"/>
          <w:sz w:val="22"/>
          <w:szCs w:val="22"/>
          <w:lang w:val="en-US"/>
        </w:rPr>
      </w:pPr>
      <w:r w:rsidRPr="00A84BF7">
        <w:rPr>
          <w:rFonts w:ascii="Arial" w:hAnsi="Arial"/>
          <w:b/>
          <w:color w:val="000000" w:themeColor="text1"/>
          <w:sz w:val="22"/>
          <w:szCs w:val="22"/>
          <w:lang w:val="en-US"/>
        </w:rPr>
        <w:t xml:space="preserve">Keywords: </w:t>
      </w:r>
      <w:r w:rsidR="00B4793B" w:rsidRPr="00A84BF7">
        <w:rPr>
          <w:rFonts w:ascii="Arial" w:hAnsi="Arial"/>
          <w:color w:val="000000" w:themeColor="text1"/>
          <w:sz w:val="22"/>
          <w:szCs w:val="22"/>
          <w:lang w:val="en-US"/>
        </w:rPr>
        <w:t>Integrative structural biology, topoisomerase, new DNA topoisomerase, topoisomerase VI, topoisomerase VIII</w:t>
      </w:r>
    </w:p>
    <w:p w14:paraId="172090EC" w14:textId="60BB904D" w:rsidR="000A7158" w:rsidRPr="00A84BF7" w:rsidRDefault="000B0AE9" w:rsidP="000A7158">
      <w:pPr>
        <w:jc w:val="both"/>
        <w:rPr>
          <w:rFonts w:ascii="Arial" w:hAnsi="Arial"/>
          <w:b/>
          <w:color w:val="000000" w:themeColor="text1"/>
          <w:sz w:val="22"/>
          <w:szCs w:val="22"/>
          <w:lang w:val="en-US"/>
        </w:rPr>
      </w:pPr>
      <w:r w:rsidRPr="00A84BF7">
        <w:rPr>
          <w:rFonts w:ascii="Arial" w:hAnsi="Arial"/>
          <w:b/>
          <w:color w:val="000000" w:themeColor="text1"/>
          <w:sz w:val="22"/>
          <w:szCs w:val="22"/>
          <w:lang w:val="en-US"/>
        </w:rPr>
        <w:t xml:space="preserve">Department: </w:t>
      </w:r>
      <w:r w:rsidR="000A7158" w:rsidRPr="00A84BF7">
        <w:rPr>
          <w:rFonts w:ascii="Arial" w:hAnsi="Arial"/>
          <w:b/>
          <w:color w:val="000000" w:themeColor="text1"/>
          <w:sz w:val="22"/>
          <w:szCs w:val="22"/>
          <w:lang w:val="en-US"/>
        </w:rPr>
        <w:t xml:space="preserve"> </w:t>
      </w:r>
      <w:r w:rsidR="00B4793B" w:rsidRPr="00A84BF7">
        <w:rPr>
          <w:rFonts w:ascii="Arial" w:hAnsi="Arial"/>
          <w:color w:val="000000" w:themeColor="text1"/>
          <w:sz w:val="22"/>
          <w:szCs w:val="22"/>
          <w:lang w:val="en-US"/>
        </w:rPr>
        <w:t>Structural biology and chemistry</w:t>
      </w:r>
    </w:p>
    <w:p w14:paraId="57645E83" w14:textId="1F6C6A80" w:rsidR="000A7158" w:rsidRPr="00A84BF7" w:rsidRDefault="000A7158">
      <w:pPr>
        <w:rPr>
          <w:rFonts w:ascii="Arial" w:hAnsi="Arial"/>
          <w:b/>
          <w:color w:val="000000" w:themeColor="text1"/>
          <w:sz w:val="22"/>
          <w:szCs w:val="22"/>
          <w:lang w:val="en-US"/>
        </w:rPr>
      </w:pPr>
      <w:r w:rsidRPr="00A84BF7">
        <w:rPr>
          <w:rFonts w:ascii="Arial" w:hAnsi="Arial"/>
          <w:b/>
          <w:color w:val="000000" w:themeColor="text1"/>
          <w:sz w:val="22"/>
          <w:szCs w:val="22"/>
          <w:lang w:val="en-US"/>
        </w:rPr>
        <w:t>Name of the lab:</w:t>
      </w:r>
      <w:r w:rsidR="00B4793B" w:rsidRPr="00A84BF7">
        <w:rPr>
          <w:rFonts w:ascii="Arial" w:hAnsi="Arial"/>
          <w:b/>
          <w:color w:val="000000" w:themeColor="text1"/>
          <w:sz w:val="22"/>
          <w:szCs w:val="22"/>
          <w:lang w:val="en-US"/>
        </w:rPr>
        <w:t xml:space="preserve"> </w:t>
      </w:r>
      <w:r w:rsidR="00B4793B" w:rsidRPr="00A84BF7">
        <w:rPr>
          <w:rFonts w:ascii="Arial" w:hAnsi="Arial"/>
          <w:color w:val="000000" w:themeColor="text1"/>
          <w:sz w:val="22"/>
          <w:szCs w:val="22"/>
          <w:lang w:val="en-US"/>
        </w:rPr>
        <w:t>Structural microbiology</w:t>
      </w:r>
    </w:p>
    <w:p w14:paraId="408AAAF2" w14:textId="01612262" w:rsidR="000A7158" w:rsidRPr="00A84BF7" w:rsidRDefault="000A7158">
      <w:pPr>
        <w:rPr>
          <w:rFonts w:ascii="Arial" w:hAnsi="Arial"/>
          <w:color w:val="000000" w:themeColor="text1"/>
          <w:sz w:val="22"/>
          <w:szCs w:val="22"/>
          <w:lang w:val="en-US"/>
        </w:rPr>
      </w:pPr>
      <w:r w:rsidRPr="00A84BF7">
        <w:rPr>
          <w:rFonts w:ascii="Arial" w:hAnsi="Arial"/>
          <w:b/>
          <w:color w:val="000000" w:themeColor="text1"/>
          <w:sz w:val="22"/>
          <w:szCs w:val="22"/>
          <w:lang w:val="en-US"/>
        </w:rPr>
        <w:t>Head of the lab:</w:t>
      </w:r>
      <w:r w:rsidR="00B4793B" w:rsidRPr="00A84BF7">
        <w:rPr>
          <w:rFonts w:ascii="Arial" w:hAnsi="Arial"/>
          <w:b/>
          <w:color w:val="000000" w:themeColor="text1"/>
          <w:sz w:val="22"/>
          <w:szCs w:val="22"/>
          <w:lang w:val="en-US"/>
        </w:rPr>
        <w:t xml:space="preserve"> </w:t>
      </w:r>
      <w:r w:rsidR="00B4793B" w:rsidRPr="00A84BF7">
        <w:rPr>
          <w:rFonts w:ascii="Arial" w:hAnsi="Arial"/>
          <w:color w:val="000000" w:themeColor="text1"/>
          <w:sz w:val="22"/>
          <w:szCs w:val="22"/>
          <w:lang w:val="en-US"/>
        </w:rPr>
        <w:t>Pedro Alzari</w:t>
      </w:r>
    </w:p>
    <w:p w14:paraId="22CCDA36" w14:textId="1E8897E4" w:rsidR="000A7158" w:rsidRPr="00A84BF7" w:rsidRDefault="000A7158">
      <w:pPr>
        <w:rPr>
          <w:rFonts w:ascii="Arial" w:hAnsi="Arial"/>
          <w:color w:val="000000" w:themeColor="text1"/>
          <w:sz w:val="22"/>
          <w:szCs w:val="22"/>
          <w:lang w:val="en-US"/>
        </w:rPr>
      </w:pPr>
      <w:r w:rsidRPr="00A84BF7">
        <w:rPr>
          <w:rFonts w:ascii="Arial" w:hAnsi="Arial"/>
          <w:b/>
          <w:color w:val="000000" w:themeColor="text1"/>
          <w:sz w:val="22"/>
          <w:szCs w:val="22"/>
          <w:lang w:val="en-US"/>
        </w:rPr>
        <w:t>PhD advisor:</w:t>
      </w:r>
      <w:r w:rsidR="00B4793B" w:rsidRPr="00A84BF7">
        <w:rPr>
          <w:rFonts w:ascii="Arial" w:hAnsi="Arial"/>
          <w:b/>
          <w:color w:val="000000" w:themeColor="text1"/>
          <w:sz w:val="22"/>
          <w:szCs w:val="22"/>
          <w:lang w:val="en-US"/>
        </w:rPr>
        <w:t xml:space="preserve"> </w:t>
      </w:r>
      <w:r w:rsidR="00B4793B" w:rsidRPr="00A84BF7">
        <w:rPr>
          <w:rFonts w:ascii="Arial" w:hAnsi="Arial"/>
          <w:color w:val="000000" w:themeColor="text1"/>
          <w:sz w:val="22"/>
          <w:szCs w:val="22"/>
          <w:lang w:val="en-US"/>
        </w:rPr>
        <w:t>Claudine MAYER</w:t>
      </w:r>
    </w:p>
    <w:p w14:paraId="27DC0A5B" w14:textId="3C1C0EDD" w:rsidR="000A7158" w:rsidRPr="00A84BF7" w:rsidRDefault="000A7158">
      <w:pPr>
        <w:rPr>
          <w:rFonts w:ascii="Arial" w:hAnsi="Arial"/>
          <w:color w:val="000000" w:themeColor="text1"/>
          <w:sz w:val="22"/>
          <w:szCs w:val="22"/>
          <w:lang w:val="en-US"/>
        </w:rPr>
      </w:pPr>
      <w:r w:rsidRPr="00A84BF7">
        <w:rPr>
          <w:rFonts w:ascii="Arial" w:hAnsi="Arial"/>
          <w:b/>
          <w:color w:val="000000" w:themeColor="text1"/>
          <w:sz w:val="22"/>
          <w:szCs w:val="22"/>
          <w:lang w:val="en-US"/>
        </w:rPr>
        <w:t>Email address:</w:t>
      </w:r>
      <w:r w:rsidR="00B4793B" w:rsidRPr="00A84BF7">
        <w:rPr>
          <w:rFonts w:ascii="Arial" w:hAnsi="Arial"/>
          <w:b/>
          <w:color w:val="000000" w:themeColor="text1"/>
          <w:sz w:val="22"/>
          <w:szCs w:val="22"/>
          <w:lang w:val="en-US"/>
        </w:rPr>
        <w:t xml:space="preserve"> </w:t>
      </w:r>
      <w:r w:rsidR="00B4793B" w:rsidRPr="00A84BF7">
        <w:rPr>
          <w:rFonts w:ascii="Arial" w:hAnsi="Arial"/>
          <w:color w:val="000000" w:themeColor="text1"/>
          <w:sz w:val="22"/>
          <w:szCs w:val="22"/>
          <w:lang w:val="en-US"/>
        </w:rPr>
        <w:t>mayer@pasteur.fr</w:t>
      </w:r>
    </w:p>
    <w:p w14:paraId="3F861C80" w14:textId="2A0374E7" w:rsidR="000A7158" w:rsidRPr="00A84BF7" w:rsidRDefault="000A7158">
      <w:pPr>
        <w:rPr>
          <w:rFonts w:ascii="Arial" w:hAnsi="Arial"/>
          <w:color w:val="000000" w:themeColor="text1"/>
          <w:sz w:val="22"/>
          <w:szCs w:val="22"/>
          <w:lang w:val="en-US"/>
        </w:rPr>
      </w:pPr>
      <w:r w:rsidRPr="00A84BF7">
        <w:rPr>
          <w:rFonts w:ascii="Arial" w:hAnsi="Arial"/>
          <w:b/>
          <w:color w:val="000000" w:themeColor="text1"/>
          <w:sz w:val="22"/>
          <w:szCs w:val="22"/>
          <w:lang w:val="en-US"/>
        </w:rPr>
        <w:t xml:space="preserve">Web site address of the lab: </w:t>
      </w:r>
      <w:r w:rsidR="00B4793B" w:rsidRPr="00A84BF7">
        <w:rPr>
          <w:rFonts w:ascii="Arial" w:hAnsi="Arial"/>
          <w:color w:val="000000" w:themeColor="text1"/>
          <w:sz w:val="22"/>
          <w:szCs w:val="22"/>
          <w:lang w:val="en-US"/>
        </w:rPr>
        <w:t>https://www.pasteur.fr/en/research/structural-biology-chemistry/units-groups/structural-microbiology</w:t>
      </w:r>
    </w:p>
    <w:p w14:paraId="1700335E" w14:textId="1FDCB1AC" w:rsidR="000A7158" w:rsidRPr="00A84BF7" w:rsidRDefault="000A7158" w:rsidP="000A7158">
      <w:pPr>
        <w:jc w:val="both"/>
        <w:rPr>
          <w:rFonts w:ascii="Arial" w:hAnsi="Arial"/>
          <w:color w:val="000000" w:themeColor="text1"/>
          <w:sz w:val="22"/>
          <w:szCs w:val="22"/>
          <w:lang w:val="en-US"/>
        </w:rPr>
      </w:pPr>
      <w:r w:rsidRPr="00A84BF7">
        <w:rPr>
          <w:rFonts w:ascii="Arial" w:hAnsi="Arial"/>
          <w:b/>
          <w:i/>
          <w:color w:val="000000" w:themeColor="text1"/>
          <w:sz w:val="22"/>
          <w:szCs w:val="22"/>
          <w:lang w:val="en-US"/>
        </w:rPr>
        <w:t>Doctoral school affiliation and University</w:t>
      </w:r>
      <w:r w:rsidRPr="00A84BF7">
        <w:rPr>
          <w:rFonts w:ascii="Arial" w:hAnsi="Arial"/>
          <w:b/>
          <w:color w:val="000000" w:themeColor="text1"/>
          <w:sz w:val="22"/>
          <w:szCs w:val="22"/>
          <w:lang w:val="en-US"/>
        </w:rPr>
        <w:t xml:space="preserve">: </w:t>
      </w:r>
      <w:r w:rsidR="00B4793B" w:rsidRPr="00A84BF7">
        <w:rPr>
          <w:rFonts w:ascii="Arial" w:hAnsi="Arial"/>
          <w:color w:val="000000" w:themeColor="text1"/>
          <w:sz w:val="22"/>
          <w:szCs w:val="22"/>
          <w:lang w:val="en-US"/>
        </w:rPr>
        <w:t>MTCI – Université Paris Diderot</w:t>
      </w:r>
    </w:p>
    <w:p w14:paraId="7DBF60F5" w14:textId="77777777" w:rsidR="000A7158" w:rsidRPr="00A84BF7" w:rsidRDefault="000A7158">
      <w:pPr>
        <w:rPr>
          <w:rFonts w:ascii="Arial" w:hAnsi="Arial"/>
          <w:color w:val="000000" w:themeColor="text1"/>
          <w:sz w:val="22"/>
          <w:szCs w:val="22"/>
          <w:lang w:val="en-US"/>
        </w:rPr>
      </w:pPr>
    </w:p>
    <w:p w14:paraId="7EE726A9" w14:textId="77777777" w:rsidR="00DE6622" w:rsidRPr="00A84BF7" w:rsidRDefault="00DE6622" w:rsidP="00A033BB">
      <w:pPr>
        <w:rPr>
          <w:rFonts w:ascii="Arial" w:hAnsi="Arial"/>
          <w:sz w:val="22"/>
          <w:szCs w:val="22"/>
          <w:lang w:val="en-US"/>
        </w:rPr>
      </w:pPr>
    </w:p>
    <w:p w14:paraId="04C31AEF" w14:textId="77777777" w:rsidR="00DE6622" w:rsidRDefault="00DE6622" w:rsidP="00A033BB">
      <w:pPr>
        <w:rPr>
          <w:rFonts w:ascii="Arial" w:hAnsi="Arial"/>
          <w:sz w:val="22"/>
          <w:u w:val="single"/>
          <w:lang w:val="en-US"/>
        </w:rPr>
      </w:pPr>
      <w:r>
        <w:rPr>
          <w:rFonts w:ascii="Arial" w:hAnsi="Arial"/>
          <w:sz w:val="22"/>
          <w:u w:val="single"/>
          <w:lang w:val="en-US"/>
        </w:rPr>
        <w:t>Presentation of the laboratory and its research topics:</w:t>
      </w:r>
    </w:p>
    <w:p w14:paraId="3A724B0A" w14:textId="77777777" w:rsidR="006841BD" w:rsidRDefault="006841BD" w:rsidP="00A033BB">
      <w:pPr>
        <w:rPr>
          <w:rFonts w:ascii="Arial" w:hAnsi="Arial"/>
          <w:sz w:val="22"/>
          <w:u w:val="single"/>
          <w:lang w:val="en-US"/>
        </w:rPr>
      </w:pPr>
    </w:p>
    <w:p w14:paraId="539FBA8E" w14:textId="77777777" w:rsidR="00B4793B" w:rsidRPr="00E55185" w:rsidRDefault="00B4793B" w:rsidP="00A033BB">
      <w:pPr>
        <w:jc w:val="both"/>
        <w:rPr>
          <w:rFonts w:ascii="Arial" w:hAnsi="Arial" w:cs="Arial"/>
          <w:sz w:val="22"/>
          <w:lang w:val="en-US"/>
        </w:rPr>
      </w:pPr>
      <w:r w:rsidRPr="001543F6">
        <w:rPr>
          <w:rFonts w:ascii="Arial" w:hAnsi="Arial" w:cs="Arial"/>
          <w:sz w:val="22"/>
          <w:lang w:val="en-US"/>
        </w:rPr>
        <w:t>The research activities of the unit are oriented towards the biochemical, biophysical and structural studies of proteins involved in microbial physiology and pathogenesis, with a particular focus on bacterial cell signaling mechanisms. They are organized in four m</w:t>
      </w:r>
      <w:r>
        <w:rPr>
          <w:rFonts w:ascii="Arial" w:hAnsi="Arial" w:cs="Arial"/>
          <w:sz w:val="22"/>
          <w:lang w:val="en-US"/>
        </w:rPr>
        <w:t>a</w:t>
      </w:r>
      <w:r w:rsidRPr="001543F6">
        <w:rPr>
          <w:rFonts w:ascii="Arial" w:hAnsi="Arial" w:cs="Arial"/>
          <w:sz w:val="22"/>
          <w:lang w:val="en-US"/>
        </w:rPr>
        <w:t>i</w:t>
      </w:r>
      <w:r>
        <w:rPr>
          <w:rFonts w:ascii="Arial" w:hAnsi="Arial" w:cs="Arial"/>
          <w:sz w:val="22"/>
          <w:lang w:val="en-US"/>
        </w:rPr>
        <w:t>n</w:t>
      </w:r>
      <w:r w:rsidRPr="001543F6">
        <w:rPr>
          <w:rFonts w:ascii="Arial" w:hAnsi="Arial" w:cs="Arial"/>
          <w:sz w:val="22"/>
          <w:lang w:val="en-US"/>
        </w:rPr>
        <w:t xml:space="preserve"> topics: (i) </w:t>
      </w:r>
      <w:r>
        <w:rPr>
          <w:rFonts w:ascii="Arial" w:hAnsi="Arial" w:cs="Arial"/>
          <w:sz w:val="22"/>
          <w:lang w:val="en-US"/>
        </w:rPr>
        <w:t>c</w:t>
      </w:r>
      <w:r w:rsidRPr="001543F6">
        <w:rPr>
          <w:rFonts w:ascii="Arial" w:hAnsi="Arial" w:cs="Arial"/>
          <w:sz w:val="22"/>
          <w:lang w:val="en-US"/>
        </w:rPr>
        <w:t xml:space="preserve">ontrol of glutamate metabolism in mycobacteria, (ii) </w:t>
      </w:r>
      <w:r>
        <w:rPr>
          <w:rFonts w:ascii="Arial" w:hAnsi="Arial" w:cs="Arial"/>
          <w:sz w:val="22"/>
          <w:lang w:val="en-US"/>
        </w:rPr>
        <w:t>e</w:t>
      </w:r>
      <w:r w:rsidRPr="001543F6">
        <w:rPr>
          <w:rFonts w:ascii="Arial" w:hAnsi="Arial" w:cs="Arial"/>
          <w:sz w:val="22"/>
          <w:lang w:val="en-US"/>
        </w:rPr>
        <w:t xml:space="preserve">nvelope stress response, (iii) PknA/PknB in mycobacterial cell division and (iv) </w:t>
      </w:r>
      <w:r>
        <w:rPr>
          <w:rFonts w:ascii="Arial" w:hAnsi="Arial" w:cs="Arial"/>
          <w:sz w:val="22"/>
          <w:lang w:val="en-US"/>
        </w:rPr>
        <w:t>s</w:t>
      </w:r>
      <w:r w:rsidRPr="001543F6">
        <w:rPr>
          <w:rFonts w:ascii="Arial" w:hAnsi="Arial" w:cs="Arial"/>
          <w:sz w:val="22"/>
          <w:lang w:val="en-US"/>
        </w:rPr>
        <w:t>tructural studies of type II topoisomerases.</w:t>
      </w:r>
    </w:p>
    <w:p w14:paraId="5A89D279" w14:textId="77777777" w:rsidR="00DE6622" w:rsidRDefault="00DE6622" w:rsidP="00A033BB">
      <w:pPr>
        <w:rPr>
          <w:rFonts w:ascii="Arial" w:hAnsi="Arial"/>
          <w:sz w:val="22"/>
          <w:u w:val="single"/>
          <w:lang w:val="en-US"/>
        </w:rPr>
      </w:pPr>
    </w:p>
    <w:p w14:paraId="55405841" w14:textId="77777777" w:rsidR="00DE6622" w:rsidRDefault="00DE6622" w:rsidP="00A033BB">
      <w:pPr>
        <w:rPr>
          <w:rFonts w:ascii="Arial" w:hAnsi="Arial"/>
          <w:sz w:val="22"/>
          <w:u w:val="single"/>
          <w:lang w:val="en-US"/>
        </w:rPr>
      </w:pPr>
      <w:r>
        <w:rPr>
          <w:rFonts w:ascii="Arial" w:hAnsi="Arial"/>
          <w:sz w:val="22"/>
          <w:u w:val="single"/>
          <w:lang w:val="en-US"/>
        </w:rPr>
        <w:t>Description of the project:</w:t>
      </w:r>
    </w:p>
    <w:p w14:paraId="0AECF4B7" w14:textId="77777777" w:rsidR="001A3B71" w:rsidRDefault="001A3B71" w:rsidP="00A033BB">
      <w:pPr>
        <w:rPr>
          <w:rFonts w:ascii="Arial" w:hAnsi="Arial"/>
          <w:sz w:val="22"/>
          <w:u w:val="single"/>
          <w:lang w:val="en-US"/>
        </w:rPr>
      </w:pPr>
    </w:p>
    <w:p w14:paraId="110D24B0" w14:textId="77777777" w:rsidR="00B4793B" w:rsidRPr="00A84BF7" w:rsidRDefault="00B4793B" w:rsidP="00A033BB">
      <w:pPr>
        <w:autoSpaceDE w:val="0"/>
        <w:autoSpaceDN w:val="0"/>
        <w:adjustRightInd w:val="0"/>
        <w:jc w:val="both"/>
        <w:rPr>
          <w:rFonts w:ascii="Arial" w:hAnsi="Arial"/>
          <w:color w:val="000000" w:themeColor="text1"/>
          <w:lang w:val="en-GB"/>
        </w:rPr>
      </w:pPr>
      <w:r w:rsidRPr="00A84BF7">
        <w:rPr>
          <w:rFonts w:ascii="Arial" w:hAnsi="Arial" w:cs="Arial"/>
          <w:color w:val="000000" w:themeColor="text1"/>
          <w:sz w:val="22"/>
          <w:szCs w:val="22"/>
          <w:lang w:val="en-GB"/>
        </w:rPr>
        <w:t xml:space="preserve">Type II topoisomerases are fascinating macromolecular machines </w:t>
      </w:r>
      <w:r w:rsidRPr="00A84BF7">
        <w:rPr>
          <w:rFonts w:ascii="Arial" w:eastAsia="TimesNewRomanMTStd" w:hAnsi="Arial" w:cs="Arial"/>
          <w:color w:val="000000" w:themeColor="text1"/>
          <w:sz w:val="22"/>
          <w:szCs w:val="22"/>
          <w:lang w:val="en-US" w:eastAsia="en-US"/>
        </w:rPr>
        <w:t xml:space="preserve">essential for solving topological problems arising during DNA metabolic processes and are therefore critical for the preservation of genome stability. They can interconvert different topological forms of DNA during </w:t>
      </w:r>
      <w:r w:rsidRPr="00A84BF7">
        <w:rPr>
          <w:rFonts w:ascii="Arial" w:hAnsi="Arial"/>
          <w:color w:val="000000" w:themeColor="text1"/>
          <w:sz w:val="22"/>
          <w:szCs w:val="22"/>
          <w:lang w:val="en-GB"/>
        </w:rPr>
        <w:t>transcription and replication since they catalyse DNA double strand breaks</w:t>
      </w:r>
      <w:r w:rsidRPr="00A84BF7">
        <w:rPr>
          <w:rFonts w:ascii="Arial" w:hAnsi="Arial" w:cs="Arial"/>
          <w:color w:val="000000" w:themeColor="text1"/>
          <w:sz w:val="22"/>
          <w:lang w:val="en-US"/>
        </w:rPr>
        <w:t xml:space="preserve"> and have gained a high level of importance as targets in antimicrobial and anti-cancer therapy</w:t>
      </w:r>
      <w:r w:rsidRPr="00A84BF7">
        <w:rPr>
          <w:rFonts w:ascii="Arial" w:hAnsi="Arial"/>
          <w:color w:val="000000" w:themeColor="text1"/>
          <w:sz w:val="22"/>
          <w:szCs w:val="22"/>
          <w:lang w:val="en-GB"/>
        </w:rPr>
        <w:t>.</w:t>
      </w:r>
      <w:r w:rsidRPr="00A84BF7">
        <w:rPr>
          <w:rFonts w:ascii="Arial" w:hAnsi="Arial"/>
          <w:color w:val="000000" w:themeColor="text1"/>
          <w:lang w:val="en-GB"/>
        </w:rPr>
        <w:t xml:space="preserve"> </w:t>
      </w:r>
      <w:r w:rsidRPr="00A84BF7">
        <w:rPr>
          <w:rFonts w:ascii="Arial" w:hAnsi="Arial"/>
          <w:color w:val="000000" w:themeColor="text1"/>
          <w:sz w:val="22"/>
          <w:lang w:val="en-GB"/>
        </w:rPr>
        <w:t xml:space="preserve">They are </w:t>
      </w:r>
      <w:r w:rsidRPr="00A84BF7">
        <w:rPr>
          <w:rFonts w:ascii="Arial" w:hAnsi="Arial" w:cs="Arial"/>
          <w:color w:val="000000" w:themeColor="text1"/>
          <w:sz w:val="22"/>
          <w:szCs w:val="22"/>
          <w:lang w:val="en-US"/>
        </w:rPr>
        <w:t xml:space="preserve">classified into subtypes IIA and IIB, based on sequence and structural similarities. </w:t>
      </w:r>
      <w:r w:rsidRPr="00A84BF7">
        <w:rPr>
          <w:rFonts w:ascii="Arial" w:hAnsi="Arial" w:cs="Arial"/>
          <w:color w:val="000000" w:themeColor="text1"/>
          <w:sz w:val="22"/>
          <w:lang w:val="en-US"/>
        </w:rPr>
        <w:t xml:space="preserve">The IIA subclass includes DNA gyrase, found in the three domains of life, bacterial topoisomerase IV and eukaryotic topoisomerase II. Until now, subtype IIB only comprised topoisomerase VI, which was originally discovered in archaea, but has more recently been found in plants and apicomplexa such as plasmodial parasites. These enzymes are thought to play a role in endoreduplication in plants and schizogeny in apicomplexa. However, exactly what they do and how they act is not presently clear. </w:t>
      </w:r>
    </w:p>
    <w:p w14:paraId="404522B1" w14:textId="77777777" w:rsidR="00B4793B" w:rsidRPr="00A84BF7" w:rsidRDefault="00B4793B" w:rsidP="00A033BB">
      <w:pPr>
        <w:autoSpaceDE w:val="0"/>
        <w:autoSpaceDN w:val="0"/>
        <w:adjustRightInd w:val="0"/>
        <w:jc w:val="both"/>
        <w:rPr>
          <w:rFonts w:ascii="Arial" w:hAnsi="Arial" w:cs="Arial"/>
          <w:color w:val="000000" w:themeColor="text1"/>
          <w:sz w:val="22"/>
          <w:szCs w:val="22"/>
          <w:lang w:val="en-US"/>
        </w:rPr>
      </w:pPr>
    </w:p>
    <w:p w14:paraId="3750C754" w14:textId="77777777" w:rsidR="00B4793B" w:rsidRPr="00A84BF7" w:rsidRDefault="00B4793B" w:rsidP="00A033BB">
      <w:pPr>
        <w:autoSpaceDE w:val="0"/>
        <w:autoSpaceDN w:val="0"/>
        <w:adjustRightInd w:val="0"/>
        <w:jc w:val="both"/>
        <w:rPr>
          <w:rFonts w:ascii="Arial" w:hAnsi="Arial" w:cs="Arial"/>
          <w:color w:val="000000" w:themeColor="text1"/>
          <w:sz w:val="22"/>
          <w:szCs w:val="22"/>
          <w:lang w:val="en-US"/>
        </w:rPr>
      </w:pPr>
      <w:r w:rsidRPr="00A84BF7">
        <w:rPr>
          <w:rFonts w:ascii="Arial" w:hAnsi="Arial" w:cs="Arial"/>
          <w:color w:val="000000" w:themeColor="text1"/>
          <w:sz w:val="22"/>
          <w:szCs w:val="22"/>
          <w:lang w:val="en-US"/>
        </w:rPr>
        <w:t xml:space="preserve">Archaeal and bacterial types IIA and IIB enzymes are heterotetramers composed of two different subunits (A and B), whereas type IIA enzymes from eukaryotes are homodimers, with the B and A moieties fused into a single polypeptide. The two families share three functional domains, the ATPase domain located in the B subunit, the Toprim domain located either in the B or A subunit, and a winged helix domain in the A subunit, that contain the catalytic tyrosine. </w:t>
      </w:r>
      <w:r w:rsidRPr="00A84BF7">
        <w:rPr>
          <w:rFonts w:ascii="Arial" w:hAnsi="Arial" w:cs="Arial"/>
          <w:color w:val="000000" w:themeColor="text1"/>
          <w:sz w:val="22"/>
          <w:lang w:val="en-US"/>
        </w:rPr>
        <w:t xml:space="preserve">Many studies have been published on the mechanism of action of Topo IIA and their interactions with antibiotics and antitumoral drugs. In contrast, very few studies have been performed on Topo IIB. Today, no structural data is available concerning the interaction with </w:t>
      </w:r>
      <w:r w:rsidRPr="00A84BF7">
        <w:rPr>
          <w:rFonts w:ascii="Arial" w:hAnsi="Arial" w:cs="Arial"/>
          <w:color w:val="000000" w:themeColor="text1"/>
          <w:sz w:val="22"/>
          <w:lang w:val="en-US"/>
        </w:rPr>
        <w:lastRenderedPageBreak/>
        <w:t xml:space="preserve">DNA. </w:t>
      </w:r>
      <w:r w:rsidRPr="00A84BF7">
        <w:rPr>
          <w:rFonts w:ascii="Arial" w:hAnsi="Arial" w:cs="Arial"/>
          <w:b/>
          <w:color w:val="000000" w:themeColor="text1"/>
          <w:sz w:val="22"/>
          <w:lang w:val="en-US"/>
        </w:rPr>
        <w:t xml:space="preserve">The first part of the project will focus on the structural characterization of the DNA recognition mode by topoisomerase VI. </w:t>
      </w:r>
    </w:p>
    <w:p w14:paraId="30FBB1FD" w14:textId="77777777" w:rsidR="00B4793B" w:rsidRPr="00A84BF7" w:rsidRDefault="00B4793B" w:rsidP="00A033BB">
      <w:pPr>
        <w:jc w:val="both"/>
        <w:rPr>
          <w:rFonts w:ascii="Arial" w:hAnsi="Arial" w:cs="Arial"/>
          <w:color w:val="000000" w:themeColor="text1"/>
          <w:sz w:val="22"/>
          <w:lang w:val="en-US"/>
        </w:rPr>
      </w:pPr>
    </w:p>
    <w:p w14:paraId="0934D309" w14:textId="77777777" w:rsidR="00B4793B" w:rsidRPr="00A84BF7" w:rsidRDefault="00B4793B" w:rsidP="00A033BB">
      <w:pPr>
        <w:jc w:val="both"/>
        <w:rPr>
          <w:rFonts w:ascii="Arial" w:hAnsi="Arial" w:cs="Arial"/>
          <w:b/>
          <w:color w:val="000000" w:themeColor="text1"/>
          <w:sz w:val="22"/>
          <w:lang w:val="en-US"/>
        </w:rPr>
      </w:pPr>
      <w:r w:rsidRPr="00A84BF7">
        <w:rPr>
          <w:rFonts w:ascii="Arial" w:hAnsi="Arial" w:cs="Arial"/>
          <w:color w:val="000000" w:themeColor="text1"/>
          <w:sz w:val="22"/>
          <w:lang w:val="en-US"/>
        </w:rPr>
        <w:t xml:space="preserve">We recently discovered and characterised a new type IIB topoisomerase, topoisomerase VIII, from bacterial, archaeal and plasmid origins (Gadelle 2014). This new enzyme adds to our knowledge of the origins and functions of the type IIB enzymes, and their smaller sizes may facilitate studies of structure and function. The genes </w:t>
      </w:r>
      <w:r w:rsidRPr="00A84BF7">
        <w:rPr>
          <w:rFonts w:ascii="Arial" w:hAnsi="Arial"/>
          <w:color w:val="000000" w:themeColor="text1"/>
          <w:sz w:val="22"/>
          <w:lang w:val="en-US"/>
        </w:rPr>
        <w:t>encoding these proteins correspond to the fusion of the B and A subunits of type IIB topoisomerases.</w:t>
      </w:r>
      <w:r w:rsidRPr="00A84BF7">
        <w:rPr>
          <w:rFonts w:ascii="Arial" w:hAnsi="Arial" w:cs="Arial"/>
          <w:color w:val="000000" w:themeColor="text1"/>
          <w:sz w:val="22"/>
          <w:lang w:val="en-US"/>
        </w:rPr>
        <w:t xml:space="preserve"> Intriguingly, their topoisomerase activities are relatively weak and puzzling and it is not yet clear what their biological functions are. </w:t>
      </w:r>
      <w:r w:rsidRPr="00A84BF7">
        <w:rPr>
          <w:rFonts w:ascii="Arial" w:hAnsi="Arial"/>
          <w:color w:val="000000" w:themeColor="text1"/>
          <w:sz w:val="22"/>
          <w:lang w:val="en-US"/>
        </w:rPr>
        <w:t>We showed that the enzyme encoded by a bacterial plasmid exhibits low ATP-dependent relaxation and decatenation activities, the hallmark of type II topoisomerases, whereas two other enzymes, encoded by integrated elements, exhibit only DNA cleavage activity, producing DNA double-stranded breaks, and/or ATP-independent relaxation activity.</w:t>
      </w:r>
      <w:r w:rsidRPr="00A84BF7">
        <w:rPr>
          <w:rFonts w:ascii="Arial" w:hAnsi="Arial" w:cs="Arial"/>
          <w:color w:val="000000" w:themeColor="text1"/>
          <w:sz w:val="22"/>
          <w:lang w:val="en-US"/>
        </w:rPr>
        <w:t xml:space="preserve"> </w:t>
      </w:r>
      <w:r w:rsidRPr="00A84BF7">
        <w:rPr>
          <w:rFonts w:ascii="Arial" w:hAnsi="Arial" w:cs="Arial"/>
          <w:b/>
          <w:color w:val="000000" w:themeColor="text1"/>
          <w:sz w:val="22"/>
          <w:lang w:val="en-US"/>
        </w:rPr>
        <w:t>The second part of the project will focus on the biochemical and structural characterization of these new DNA topoisomerases</w:t>
      </w:r>
      <w:r w:rsidRPr="00A84BF7">
        <w:rPr>
          <w:rFonts w:ascii="Arial" w:hAnsi="Arial"/>
          <w:b/>
          <w:color w:val="000000" w:themeColor="text1"/>
          <w:sz w:val="22"/>
          <w:lang w:val="en-US"/>
        </w:rPr>
        <w:t xml:space="preserve"> using integrative structural biology methods. </w:t>
      </w:r>
    </w:p>
    <w:p w14:paraId="4A90B7DE" w14:textId="77777777" w:rsidR="00B4793B" w:rsidRDefault="00B4793B" w:rsidP="00A033BB">
      <w:pPr>
        <w:rPr>
          <w:rFonts w:ascii="Arial" w:hAnsi="Arial"/>
          <w:sz w:val="22"/>
          <w:u w:val="single"/>
          <w:lang w:val="en-US"/>
        </w:rPr>
      </w:pPr>
    </w:p>
    <w:p w14:paraId="08FA5692" w14:textId="77777777" w:rsidR="00DE6622" w:rsidRDefault="00DE6622" w:rsidP="00A033BB">
      <w:pPr>
        <w:rPr>
          <w:rFonts w:ascii="Arial" w:hAnsi="Arial"/>
          <w:sz w:val="22"/>
          <w:u w:val="single"/>
          <w:lang w:val="en-US"/>
        </w:rPr>
      </w:pPr>
    </w:p>
    <w:p w14:paraId="06D7D272" w14:textId="77777777" w:rsidR="00DE6622" w:rsidRDefault="00DE6622">
      <w:pPr>
        <w:rPr>
          <w:rFonts w:ascii="Arial" w:hAnsi="Arial"/>
          <w:sz w:val="22"/>
          <w:u w:val="single"/>
          <w:lang w:val="en-US"/>
        </w:rPr>
      </w:pPr>
      <w:r>
        <w:rPr>
          <w:rFonts w:ascii="Arial" w:hAnsi="Arial"/>
          <w:sz w:val="22"/>
          <w:u w:val="single"/>
          <w:lang w:val="en-US"/>
        </w:rPr>
        <w:t>References:</w:t>
      </w:r>
    </w:p>
    <w:p w14:paraId="20B103C2" w14:textId="77777777" w:rsidR="00DE6622" w:rsidRDefault="00DE6622">
      <w:pPr>
        <w:rPr>
          <w:rFonts w:ascii="Arial" w:hAnsi="Arial"/>
          <w:sz w:val="22"/>
          <w:u w:val="single"/>
          <w:lang w:val="en-US"/>
        </w:rPr>
      </w:pPr>
    </w:p>
    <w:p w14:paraId="7B0B7083" w14:textId="77777777" w:rsidR="00B4793B" w:rsidRPr="00A84BF7" w:rsidRDefault="00B4793B" w:rsidP="00A84BF7">
      <w:pPr>
        <w:pStyle w:val="Pardeliste"/>
        <w:numPr>
          <w:ilvl w:val="0"/>
          <w:numId w:val="10"/>
        </w:numPr>
        <w:spacing w:line="264" w:lineRule="auto"/>
        <w:ind w:left="426"/>
        <w:jc w:val="both"/>
        <w:rPr>
          <w:rFonts w:ascii="Arial" w:hAnsi="Arial" w:cs="Arial"/>
          <w:i/>
          <w:sz w:val="18"/>
          <w:szCs w:val="18"/>
          <w:lang w:val="en-GB"/>
        </w:rPr>
      </w:pPr>
      <w:r w:rsidRPr="00A84BF7">
        <w:rPr>
          <w:rFonts w:ascii="Arial" w:hAnsi="Arial" w:cs="Arial"/>
          <w:b/>
          <w:i/>
          <w:sz w:val="18"/>
          <w:szCs w:val="18"/>
          <w:lang w:val="en-US"/>
        </w:rPr>
        <w:t>J. Piton</w:t>
      </w:r>
      <w:r w:rsidRPr="00A84BF7">
        <w:rPr>
          <w:rFonts w:ascii="Arial" w:hAnsi="Arial" w:cs="Arial"/>
          <w:i/>
          <w:sz w:val="18"/>
          <w:szCs w:val="18"/>
          <w:lang w:val="en-US"/>
        </w:rPr>
        <w:t xml:space="preserve">, </w:t>
      </w:r>
      <w:r w:rsidRPr="00A84BF7">
        <w:rPr>
          <w:rFonts w:ascii="Arial" w:hAnsi="Arial" w:cs="Arial"/>
          <w:b/>
          <w:i/>
          <w:sz w:val="18"/>
          <w:szCs w:val="18"/>
          <w:lang w:val="en-US"/>
        </w:rPr>
        <w:t>S. Petrella</w:t>
      </w:r>
      <w:r w:rsidRPr="00A84BF7">
        <w:rPr>
          <w:rFonts w:ascii="Arial" w:hAnsi="Arial" w:cs="Arial"/>
          <w:i/>
          <w:sz w:val="18"/>
          <w:szCs w:val="18"/>
          <w:lang w:val="en-US"/>
        </w:rPr>
        <w:t xml:space="preserve">, M. Delarue, G. André-Leroux, V. Jarlier, A. Aubry and </w:t>
      </w:r>
      <w:r w:rsidRPr="00A84BF7">
        <w:rPr>
          <w:rFonts w:ascii="Arial" w:hAnsi="Arial" w:cs="Arial"/>
          <w:b/>
          <w:bCs/>
          <w:i/>
          <w:sz w:val="18"/>
          <w:szCs w:val="18"/>
          <w:lang w:val="en-US"/>
        </w:rPr>
        <w:t>C. Mayer</w:t>
      </w:r>
      <w:r w:rsidRPr="00A84BF7">
        <w:rPr>
          <w:rFonts w:ascii="Arial" w:hAnsi="Arial" w:cs="Arial"/>
          <w:i/>
          <w:sz w:val="18"/>
          <w:szCs w:val="18"/>
          <w:lang w:val="en-US"/>
        </w:rPr>
        <w:t xml:space="preserve">. (2010). Structural insights into the quinolone resistance mechanism of Mycobacterium tuberculosis DNA gyrase. </w:t>
      </w:r>
      <w:r w:rsidRPr="00A84BF7">
        <w:rPr>
          <w:rFonts w:ascii="Arial" w:hAnsi="Arial" w:cs="Arial"/>
          <w:b/>
          <w:bCs/>
          <w:i/>
          <w:iCs/>
          <w:sz w:val="18"/>
          <w:szCs w:val="18"/>
          <w:lang w:val="en-GB"/>
        </w:rPr>
        <w:t>PLoS ONE</w:t>
      </w:r>
      <w:r w:rsidRPr="00A84BF7">
        <w:rPr>
          <w:rFonts w:ascii="Arial" w:hAnsi="Arial" w:cs="Arial"/>
          <w:b/>
          <w:i/>
          <w:sz w:val="18"/>
          <w:szCs w:val="18"/>
          <w:lang w:val="en-US"/>
        </w:rPr>
        <w:t>,</w:t>
      </w:r>
      <w:r w:rsidRPr="00A84BF7">
        <w:rPr>
          <w:rFonts w:ascii="Arial" w:hAnsi="Arial" w:cs="Arial"/>
          <w:i/>
          <w:sz w:val="18"/>
          <w:szCs w:val="18"/>
          <w:lang w:val="en-US"/>
        </w:rPr>
        <w:t xml:space="preserve"> </w:t>
      </w:r>
      <w:r w:rsidRPr="00A84BF7">
        <w:rPr>
          <w:rFonts w:ascii="Arial" w:hAnsi="Arial" w:cs="Arial"/>
          <w:b/>
          <w:i/>
          <w:sz w:val="18"/>
          <w:szCs w:val="18"/>
          <w:lang w:val="en-GB"/>
        </w:rPr>
        <w:t>5 (8)</w:t>
      </w:r>
      <w:r w:rsidRPr="00A84BF7">
        <w:rPr>
          <w:rFonts w:ascii="Arial" w:hAnsi="Arial" w:cs="Arial"/>
          <w:i/>
          <w:sz w:val="18"/>
          <w:szCs w:val="18"/>
          <w:lang w:val="en-GB"/>
        </w:rPr>
        <w:t>, e12245.</w:t>
      </w:r>
    </w:p>
    <w:p w14:paraId="00E84369" w14:textId="77777777" w:rsidR="00B4793B" w:rsidRPr="00A84BF7" w:rsidRDefault="00B4793B" w:rsidP="00A84BF7">
      <w:pPr>
        <w:spacing w:line="264" w:lineRule="auto"/>
        <w:ind w:left="426"/>
        <w:jc w:val="both"/>
        <w:rPr>
          <w:rFonts w:ascii="Arial" w:hAnsi="Arial" w:cs="Arial"/>
          <w:i/>
          <w:sz w:val="10"/>
          <w:szCs w:val="10"/>
          <w:lang w:val="en-US"/>
        </w:rPr>
      </w:pPr>
    </w:p>
    <w:p w14:paraId="696EC352" w14:textId="556AC6F5" w:rsidR="00B4793B" w:rsidRPr="00A84BF7" w:rsidRDefault="00B4793B" w:rsidP="00A84BF7">
      <w:pPr>
        <w:pStyle w:val="Pardeliste"/>
        <w:numPr>
          <w:ilvl w:val="0"/>
          <w:numId w:val="10"/>
        </w:numPr>
        <w:spacing w:line="264" w:lineRule="auto"/>
        <w:ind w:left="426"/>
        <w:jc w:val="both"/>
        <w:rPr>
          <w:rFonts w:ascii="Arial" w:hAnsi="Arial" w:cs="Arial"/>
          <w:i/>
          <w:sz w:val="18"/>
          <w:szCs w:val="18"/>
          <w:lang w:val="en-US"/>
        </w:rPr>
      </w:pPr>
      <w:r w:rsidRPr="00A84BF7">
        <w:rPr>
          <w:rFonts w:ascii="Arial" w:hAnsi="Arial" w:cs="Arial"/>
          <w:i/>
          <w:sz w:val="18"/>
          <w:szCs w:val="18"/>
          <w:lang w:val="en-US"/>
        </w:rPr>
        <w:t xml:space="preserve">Bouige, </w:t>
      </w:r>
      <w:r w:rsidRPr="00A84BF7">
        <w:rPr>
          <w:rFonts w:ascii="Arial" w:hAnsi="Arial" w:cs="Arial"/>
          <w:b/>
          <w:i/>
          <w:sz w:val="18"/>
          <w:szCs w:val="18"/>
          <w:lang w:val="en-US"/>
        </w:rPr>
        <w:t>A. Darmon</w:t>
      </w:r>
      <w:r w:rsidRPr="00A84BF7">
        <w:rPr>
          <w:rFonts w:ascii="Arial" w:hAnsi="Arial" w:cs="Arial"/>
          <w:i/>
          <w:sz w:val="18"/>
          <w:szCs w:val="18"/>
          <w:lang w:val="en-US"/>
        </w:rPr>
        <w:t xml:space="preserve">, </w:t>
      </w:r>
      <w:r w:rsidRPr="00A84BF7">
        <w:rPr>
          <w:rFonts w:ascii="Arial" w:hAnsi="Arial" w:cs="Arial"/>
          <w:b/>
          <w:i/>
          <w:sz w:val="18"/>
          <w:szCs w:val="18"/>
          <w:lang w:val="en-US"/>
        </w:rPr>
        <w:t>J. Piton</w:t>
      </w:r>
      <w:r w:rsidRPr="00A84BF7">
        <w:rPr>
          <w:rFonts w:ascii="Arial" w:hAnsi="Arial" w:cs="Arial"/>
          <w:i/>
          <w:sz w:val="18"/>
          <w:szCs w:val="18"/>
          <w:lang w:val="en-US"/>
        </w:rPr>
        <w:t xml:space="preserve">, </w:t>
      </w:r>
      <w:r w:rsidRPr="00A84BF7">
        <w:rPr>
          <w:rFonts w:ascii="Arial" w:hAnsi="Arial" w:cs="Arial"/>
          <w:b/>
          <w:i/>
          <w:sz w:val="18"/>
          <w:szCs w:val="18"/>
          <w:lang w:val="en-US"/>
        </w:rPr>
        <w:t>M. Roué</w:t>
      </w:r>
      <w:r w:rsidRPr="00A84BF7">
        <w:rPr>
          <w:rFonts w:ascii="Arial" w:hAnsi="Arial" w:cs="Arial"/>
          <w:i/>
          <w:sz w:val="18"/>
          <w:szCs w:val="18"/>
          <w:lang w:val="en-US"/>
        </w:rPr>
        <w:t xml:space="preserve">, </w:t>
      </w:r>
      <w:r w:rsidRPr="00A84BF7">
        <w:rPr>
          <w:rFonts w:ascii="Arial" w:hAnsi="Arial" w:cs="Arial"/>
          <w:b/>
          <w:i/>
          <w:sz w:val="18"/>
          <w:szCs w:val="18"/>
          <w:lang w:val="en-US"/>
        </w:rPr>
        <w:t>S. Petrella</w:t>
      </w:r>
      <w:r w:rsidRPr="00A84BF7">
        <w:rPr>
          <w:rFonts w:ascii="Arial" w:hAnsi="Arial" w:cs="Arial"/>
          <w:i/>
          <w:sz w:val="18"/>
          <w:szCs w:val="18"/>
          <w:lang w:val="en-US"/>
        </w:rPr>
        <w:t xml:space="preserve">, E. Capton, P. Forterre, A. Aubry, and </w:t>
      </w:r>
      <w:r w:rsidRPr="00A84BF7">
        <w:rPr>
          <w:rFonts w:ascii="Arial" w:hAnsi="Arial" w:cs="Arial"/>
          <w:b/>
          <w:i/>
          <w:sz w:val="18"/>
          <w:szCs w:val="18"/>
          <w:lang w:val="en-US"/>
        </w:rPr>
        <w:t>C. Mayer</w:t>
      </w:r>
      <w:r w:rsidRPr="00A84BF7">
        <w:rPr>
          <w:rFonts w:ascii="Arial" w:hAnsi="Arial" w:cs="Arial"/>
          <w:i/>
          <w:sz w:val="18"/>
          <w:szCs w:val="18"/>
          <w:lang w:val="en-US"/>
        </w:rPr>
        <w:t xml:space="preserve">. (2013). Mycobacterium tuberculosis DNA gyrase possesses two functional GyrA-boxes. </w:t>
      </w:r>
      <w:r w:rsidRPr="00A84BF7">
        <w:rPr>
          <w:rFonts w:ascii="Arial" w:hAnsi="Arial" w:cs="Arial"/>
          <w:b/>
          <w:i/>
          <w:sz w:val="18"/>
          <w:szCs w:val="18"/>
          <w:lang w:val="en-US"/>
        </w:rPr>
        <w:t>Biochem J.,</w:t>
      </w:r>
      <w:r w:rsidRPr="00A84BF7">
        <w:rPr>
          <w:rFonts w:ascii="Arial" w:hAnsi="Arial" w:cs="Arial"/>
          <w:i/>
          <w:sz w:val="18"/>
          <w:szCs w:val="18"/>
          <w:lang w:val="en-US"/>
        </w:rPr>
        <w:t xml:space="preserve"> </w:t>
      </w:r>
      <w:r w:rsidRPr="00A84BF7">
        <w:rPr>
          <w:rFonts w:ascii="Arial" w:hAnsi="Arial" w:cs="Arial"/>
          <w:b/>
          <w:i/>
          <w:sz w:val="18"/>
          <w:szCs w:val="18"/>
          <w:lang w:val="en-US"/>
        </w:rPr>
        <w:t>455 (3)</w:t>
      </w:r>
      <w:r w:rsidRPr="00A84BF7">
        <w:rPr>
          <w:rFonts w:ascii="Arial" w:hAnsi="Arial" w:cs="Arial"/>
          <w:i/>
          <w:sz w:val="18"/>
          <w:szCs w:val="18"/>
          <w:lang w:val="en-US"/>
        </w:rPr>
        <w:t>, 285-294.</w:t>
      </w:r>
    </w:p>
    <w:p w14:paraId="59481920" w14:textId="77777777" w:rsidR="00B4793B" w:rsidRPr="00A84BF7" w:rsidRDefault="00B4793B" w:rsidP="00A84BF7">
      <w:pPr>
        <w:spacing w:line="264" w:lineRule="auto"/>
        <w:ind w:left="426"/>
        <w:jc w:val="both"/>
        <w:rPr>
          <w:rFonts w:ascii="Arial" w:hAnsi="Arial" w:cs="Arial"/>
          <w:i/>
          <w:sz w:val="10"/>
          <w:szCs w:val="10"/>
          <w:lang w:val="en-US"/>
        </w:rPr>
      </w:pPr>
    </w:p>
    <w:p w14:paraId="3DF8BAFD" w14:textId="34120280" w:rsidR="00B4793B" w:rsidRPr="00A84BF7" w:rsidRDefault="00B4793B" w:rsidP="00A84BF7">
      <w:pPr>
        <w:pStyle w:val="Pardeliste"/>
        <w:numPr>
          <w:ilvl w:val="0"/>
          <w:numId w:val="10"/>
        </w:numPr>
        <w:spacing w:line="264" w:lineRule="auto"/>
        <w:ind w:left="426"/>
        <w:jc w:val="both"/>
        <w:rPr>
          <w:rFonts w:ascii="Arial" w:hAnsi="Arial" w:cs="Arial"/>
          <w:i/>
          <w:sz w:val="18"/>
          <w:szCs w:val="18"/>
          <w:lang w:val="en-US"/>
        </w:rPr>
      </w:pPr>
      <w:r w:rsidRPr="00A84BF7">
        <w:rPr>
          <w:rFonts w:ascii="Arial" w:hAnsi="Arial" w:cs="Arial"/>
          <w:i/>
          <w:sz w:val="18"/>
          <w:szCs w:val="18"/>
          <w:lang w:val="es-ES"/>
        </w:rPr>
        <w:t>Agrawal,</w:t>
      </w:r>
      <w:r w:rsidRPr="00A84BF7">
        <w:rPr>
          <w:rFonts w:ascii="Arial" w:hAnsi="Arial" w:cs="Arial"/>
          <w:b/>
          <w:i/>
          <w:sz w:val="18"/>
          <w:szCs w:val="18"/>
          <w:lang w:val="es-ES"/>
        </w:rPr>
        <w:t xml:space="preserve"> M. Roué</w:t>
      </w:r>
      <w:r w:rsidRPr="00A84BF7">
        <w:rPr>
          <w:rFonts w:ascii="Arial" w:hAnsi="Arial" w:cs="Arial"/>
          <w:i/>
          <w:sz w:val="18"/>
          <w:szCs w:val="18"/>
          <w:lang w:val="es-ES"/>
        </w:rPr>
        <w:t xml:space="preserve">, C. Spitzfaden, </w:t>
      </w:r>
      <w:r w:rsidRPr="00A84BF7">
        <w:rPr>
          <w:rFonts w:ascii="Arial" w:hAnsi="Arial" w:cs="Arial"/>
          <w:b/>
          <w:i/>
          <w:sz w:val="18"/>
          <w:szCs w:val="18"/>
          <w:lang w:val="es-ES"/>
        </w:rPr>
        <w:t>S. Petrella</w:t>
      </w:r>
      <w:r w:rsidRPr="00A84BF7">
        <w:rPr>
          <w:rFonts w:ascii="Arial" w:hAnsi="Arial" w:cs="Arial"/>
          <w:i/>
          <w:sz w:val="18"/>
          <w:szCs w:val="18"/>
          <w:lang w:val="es-ES"/>
        </w:rPr>
        <w:t xml:space="preserve">, A. Aubry, MM. </w:t>
      </w:r>
      <w:r w:rsidRPr="00A84BF7">
        <w:rPr>
          <w:rFonts w:ascii="Arial" w:hAnsi="Arial" w:cs="Arial"/>
          <w:i/>
          <w:sz w:val="18"/>
          <w:szCs w:val="18"/>
          <w:lang w:val="en-US"/>
        </w:rPr>
        <w:t xml:space="preserve">Hann, B. Bax, and </w:t>
      </w:r>
      <w:r w:rsidRPr="00A84BF7">
        <w:rPr>
          <w:rFonts w:ascii="Arial" w:hAnsi="Arial" w:cs="Arial"/>
          <w:b/>
          <w:i/>
          <w:sz w:val="18"/>
          <w:szCs w:val="18"/>
          <w:lang w:val="en-US"/>
        </w:rPr>
        <w:t>C. Mayer</w:t>
      </w:r>
      <w:r w:rsidRPr="00A84BF7">
        <w:rPr>
          <w:rFonts w:ascii="Arial" w:hAnsi="Arial" w:cs="Arial"/>
          <w:i/>
          <w:sz w:val="18"/>
          <w:szCs w:val="18"/>
          <w:lang w:val="en-US"/>
        </w:rPr>
        <w:t>. (2013). Mycobacterium tuberculosis DNA gyrase ATPase domain structures suggest a dissociative mechanism that explains how ATP hydrolysis is coupled to domain motion.</w:t>
      </w:r>
      <w:r w:rsidRPr="00A84BF7">
        <w:rPr>
          <w:rFonts w:ascii="Arial" w:hAnsi="Arial" w:cs="Arial"/>
          <w:b/>
          <w:i/>
          <w:sz w:val="18"/>
          <w:szCs w:val="18"/>
          <w:lang w:val="en-US"/>
        </w:rPr>
        <w:t xml:space="preserve"> Biochem J., 456 (2)</w:t>
      </w:r>
      <w:r w:rsidRPr="00A84BF7">
        <w:rPr>
          <w:rFonts w:ascii="Arial" w:hAnsi="Arial" w:cs="Arial"/>
          <w:i/>
          <w:sz w:val="18"/>
          <w:szCs w:val="18"/>
          <w:lang w:val="en-US"/>
        </w:rPr>
        <w:t>, 263-273.</w:t>
      </w:r>
    </w:p>
    <w:p w14:paraId="0A2A5800" w14:textId="77777777" w:rsidR="00B4793B" w:rsidRPr="00A84BF7" w:rsidRDefault="00B4793B" w:rsidP="00A84BF7">
      <w:pPr>
        <w:spacing w:line="264" w:lineRule="auto"/>
        <w:ind w:left="426"/>
        <w:jc w:val="both"/>
        <w:rPr>
          <w:rFonts w:ascii="Arial" w:hAnsi="Arial" w:cs="Arial"/>
          <w:i/>
          <w:sz w:val="10"/>
          <w:szCs w:val="10"/>
          <w:lang w:val="en-US"/>
        </w:rPr>
      </w:pPr>
    </w:p>
    <w:p w14:paraId="157EB48C" w14:textId="1549784C" w:rsidR="00B4793B" w:rsidRPr="00A84BF7" w:rsidRDefault="00B4793B" w:rsidP="00A84BF7">
      <w:pPr>
        <w:pStyle w:val="Pardeliste"/>
        <w:numPr>
          <w:ilvl w:val="0"/>
          <w:numId w:val="10"/>
        </w:numPr>
        <w:spacing w:line="264" w:lineRule="auto"/>
        <w:ind w:left="426"/>
        <w:jc w:val="both"/>
        <w:rPr>
          <w:rFonts w:ascii="Arial" w:hAnsi="Arial" w:cs="Arial"/>
          <w:i/>
          <w:sz w:val="18"/>
          <w:szCs w:val="18"/>
        </w:rPr>
      </w:pPr>
      <w:r w:rsidRPr="00A84BF7">
        <w:rPr>
          <w:rFonts w:ascii="Arial" w:hAnsi="Arial" w:cs="Arial"/>
          <w:i/>
          <w:sz w:val="18"/>
          <w:szCs w:val="18"/>
          <w:lang w:val="en-US"/>
        </w:rPr>
        <w:t xml:space="preserve">Gadelle, M. Krupovic, K. Raymann, </w:t>
      </w:r>
      <w:r w:rsidRPr="00A84BF7">
        <w:rPr>
          <w:rFonts w:ascii="Arial" w:hAnsi="Arial" w:cs="Arial"/>
          <w:b/>
          <w:i/>
          <w:sz w:val="18"/>
          <w:szCs w:val="18"/>
          <w:lang w:val="en-US"/>
        </w:rPr>
        <w:t>C. Mayer</w:t>
      </w:r>
      <w:r w:rsidRPr="00A84BF7">
        <w:rPr>
          <w:rFonts w:ascii="Arial" w:hAnsi="Arial" w:cs="Arial"/>
          <w:i/>
          <w:sz w:val="18"/>
          <w:szCs w:val="18"/>
          <w:lang w:val="en-US"/>
        </w:rPr>
        <w:t xml:space="preserve">, and P. Forterre. (2014). DNA topoisomerase VIII: a novel subfamily of type IIB topoisomerases encoded by free or integrated plasmids in Archaea and Bacteria. </w:t>
      </w:r>
      <w:r w:rsidRPr="00A84BF7">
        <w:rPr>
          <w:rFonts w:ascii="Arial" w:hAnsi="Arial" w:cs="Arial"/>
          <w:b/>
          <w:i/>
          <w:sz w:val="18"/>
          <w:szCs w:val="18"/>
        </w:rPr>
        <w:t>Nucleic Acids Res</w:t>
      </w:r>
      <w:r w:rsidRPr="00A84BF7">
        <w:rPr>
          <w:rFonts w:ascii="Arial" w:hAnsi="Arial" w:cs="Arial"/>
          <w:i/>
          <w:sz w:val="18"/>
          <w:szCs w:val="18"/>
        </w:rPr>
        <w:t>.</w:t>
      </w:r>
      <w:r w:rsidRPr="00A84BF7">
        <w:rPr>
          <w:rFonts w:ascii="Arial" w:hAnsi="Arial" w:cs="Arial"/>
          <w:b/>
          <w:i/>
          <w:sz w:val="18"/>
          <w:szCs w:val="18"/>
        </w:rPr>
        <w:t>, 42 (13)</w:t>
      </w:r>
      <w:r w:rsidRPr="00A84BF7">
        <w:rPr>
          <w:rFonts w:ascii="Arial" w:hAnsi="Arial" w:cs="Arial"/>
          <w:i/>
          <w:sz w:val="18"/>
          <w:szCs w:val="18"/>
        </w:rPr>
        <w:t>, 8578-8591.</w:t>
      </w:r>
    </w:p>
    <w:p w14:paraId="38E10958" w14:textId="77777777" w:rsidR="00B4793B" w:rsidRPr="00A84BF7" w:rsidRDefault="00B4793B" w:rsidP="00A84BF7">
      <w:pPr>
        <w:spacing w:line="264" w:lineRule="auto"/>
        <w:ind w:left="426"/>
        <w:jc w:val="both"/>
        <w:rPr>
          <w:rFonts w:ascii="Arial" w:hAnsi="Arial" w:cs="Arial"/>
          <w:i/>
          <w:sz w:val="10"/>
          <w:szCs w:val="10"/>
        </w:rPr>
      </w:pPr>
    </w:p>
    <w:p w14:paraId="2C304E6F" w14:textId="77777777" w:rsidR="00B4793B" w:rsidRPr="00A84BF7" w:rsidRDefault="00B4793B" w:rsidP="00A84BF7">
      <w:pPr>
        <w:pStyle w:val="Pardeliste"/>
        <w:numPr>
          <w:ilvl w:val="0"/>
          <w:numId w:val="10"/>
        </w:numPr>
        <w:spacing w:line="264" w:lineRule="auto"/>
        <w:ind w:left="426"/>
        <w:jc w:val="both"/>
        <w:rPr>
          <w:rFonts w:ascii="Arial" w:hAnsi="Arial" w:cs="Arial"/>
          <w:i/>
          <w:sz w:val="18"/>
          <w:szCs w:val="18"/>
          <w:lang w:val="en-US"/>
        </w:rPr>
      </w:pPr>
      <w:r w:rsidRPr="00A84BF7">
        <w:rPr>
          <w:rFonts w:ascii="Arial" w:hAnsi="Arial" w:cs="Arial"/>
          <w:i/>
          <w:sz w:val="18"/>
          <w:szCs w:val="18"/>
        </w:rPr>
        <w:t xml:space="preserve">N. Vrielynck, A. Chambon, D. Vezon, L. Pereira, L. Chelysheva, A. De Muyt, C. Mézard, </w:t>
      </w:r>
      <w:r w:rsidRPr="00A84BF7">
        <w:rPr>
          <w:rFonts w:ascii="Arial" w:hAnsi="Arial" w:cs="Arial"/>
          <w:b/>
          <w:i/>
          <w:sz w:val="18"/>
          <w:szCs w:val="18"/>
        </w:rPr>
        <w:t>C. Mayer</w:t>
      </w:r>
      <w:r w:rsidRPr="00A84BF7">
        <w:rPr>
          <w:rFonts w:ascii="Arial" w:hAnsi="Arial" w:cs="Arial"/>
          <w:i/>
          <w:sz w:val="18"/>
          <w:szCs w:val="18"/>
        </w:rPr>
        <w:t xml:space="preserve">, M. Grelon. </w:t>
      </w:r>
      <w:r w:rsidRPr="00A84BF7">
        <w:rPr>
          <w:rFonts w:ascii="Arial" w:hAnsi="Arial" w:cs="Arial"/>
          <w:i/>
          <w:sz w:val="18"/>
          <w:szCs w:val="18"/>
          <w:lang w:val="en-US"/>
        </w:rPr>
        <w:t xml:space="preserve">(2016). A DNA topoisomerase VI-like complex initiates meiotic recombination. </w:t>
      </w:r>
      <w:r w:rsidRPr="00A84BF7">
        <w:rPr>
          <w:rFonts w:ascii="Arial" w:hAnsi="Arial" w:cs="Arial"/>
          <w:b/>
          <w:i/>
          <w:sz w:val="18"/>
          <w:szCs w:val="18"/>
          <w:lang w:val="en-US"/>
        </w:rPr>
        <w:t>Science</w:t>
      </w:r>
      <w:r w:rsidRPr="00A84BF7">
        <w:rPr>
          <w:rFonts w:ascii="Arial" w:hAnsi="Arial" w:cs="Arial"/>
          <w:i/>
          <w:sz w:val="18"/>
          <w:szCs w:val="18"/>
          <w:lang w:val="en-US"/>
        </w:rPr>
        <w:t xml:space="preserve">. </w:t>
      </w:r>
      <w:r w:rsidRPr="00A84BF7">
        <w:rPr>
          <w:rFonts w:ascii="Arial" w:hAnsi="Arial" w:cs="Arial"/>
          <w:b/>
          <w:i/>
          <w:sz w:val="18"/>
          <w:szCs w:val="18"/>
          <w:lang w:val="en-US"/>
        </w:rPr>
        <w:t>351 (6276)</w:t>
      </w:r>
      <w:r w:rsidRPr="00A84BF7">
        <w:rPr>
          <w:rFonts w:ascii="Arial" w:hAnsi="Arial" w:cs="Arial"/>
          <w:i/>
          <w:sz w:val="18"/>
          <w:szCs w:val="18"/>
          <w:lang w:val="en-US"/>
        </w:rPr>
        <w:t>, 939-943.</w:t>
      </w:r>
    </w:p>
    <w:p w14:paraId="41E9E0A0" w14:textId="77777777" w:rsidR="00DE6622" w:rsidRDefault="00DE6622">
      <w:pPr>
        <w:rPr>
          <w:rFonts w:ascii="Arial" w:hAnsi="Arial"/>
          <w:sz w:val="22"/>
          <w:u w:val="single"/>
          <w:lang w:val="en-US"/>
        </w:rPr>
      </w:pPr>
    </w:p>
    <w:p w14:paraId="7102C145" w14:textId="77777777" w:rsidR="007F68BD" w:rsidRDefault="007F68BD">
      <w:pPr>
        <w:rPr>
          <w:rFonts w:ascii="Arial" w:hAnsi="Arial"/>
          <w:sz w:val="22"/>
          <w:u w:val="single"/>
          <w:lang w:val="en-US"/>
        </w:rPr>
      </w:pPr>
      <w:bookmarkStart w:id="0" w:name="_GoBack"/>
      <w:bookmarkEnd w:id="0"/>
    </w:p>
    <w:p w14:paraId="5BF8AC44" w14:textId="77777777" w:rsidR="00DE6622" w:rsidRDefault="00DE6622">
      <w:pPr>
        <w:rPr>
          <w:rFonts w:ascii="Arial" w:hAnsi="Arial"/>
          <w:sz w:val="22"/>
          <w:u w:val="single"/>
          <w:lang w:val="en-US"/>
        </w:rPr>
      </w:pPr>
      <w:r>
        <w:rPr>
          <w:rFonts w:ascii="Arial" w:hAnsi="Arial"/>
          <w:sz w:val="22"/>
          <w:u w:val="single"/>
          <w:lang w:val="en-US"/>
        </w:rPr>
        <w:t>Expected profile of the candidate (optional):</w:t>
      </w:r>
    </w:p>
    <w:p w14:paraId="6DF596A7" w14:textId="77777777" w:rsidR="00DE6622" w:rsidRDefault="00DE6622">
      <w:pPr>
        <w:rPr>
          <w:rFonts w:ascii="Arial" w:hAnsi="Arial"/>
          <w:sz w:val="22"/>
          <w:u w:val="single"/>
          <w:lang w:val="en-US"/>
        </w:rPr>
      </w:pPr>
    </w:p>
    <w:p w14:paraId="62022EF2" w14:textId="77777777" w:rsidR="00B4793B" w:rsidRDefault="00B4793B" w:rsidP="00B4793B">
      <w:pPr>
        <w:rPr>
          <w:rFonts w:ascii="Arial" w:hAnsi="Arial"/>
          <w:sz w:val="22"/>
          <w:u w:val="single"/>
          <w:lang w:val="en-US"/>
        </w:rPr>
      </w:pPr>
      <w:r>
        <w:rPr>
          <w:rFonts w:ascii="Arial" w:hAnsi="Arial"/>
          <w:sz w:val="22"/>
          <w:lang w:val="en-US"/>
        </w:rPr>
        <w:t>Knowledge in biochemistry (activity assays, protein purification), biophysics and structural biology</w:t>
      </w:r>
    </w:p>
    <w:p w14:paraId="01A166C1" w14:textId="77777777" w:rsidR="00DE6622" w:rsidRDefault="00DE6622">
      <w:pPr>
        <w:rPr>
          <w:rFonts w:ascii="Arial" w:hAnsi="Arial"/>
          <w:sz w:val="22"/>
          <w:u w:val="single"/>
          <w:lang w:val="en-US"/>
        </w:rPr>
      </w:pPr>
    </w:p>
    <w:p w14:paraId="46608FD6" w14:textId="77777777" w:rsidR="00DE6622" w:rsidRDefault="00DE6622">
      <w:pPr>
        <w:rPr>
          <w:rFonts w:ascii="Arial" w:hAnsi="Arial"/>
          <w:sz w:val="22"/>
          <w:u w:val="single"/>
          <w:lang w:val="en-US"/>
        </w:rPr>
      </w:pPr>
    </w:p>
    <w:p w14:paraId="017ADBC7" w14:textId="77777777" w:rsidR="00DE6622" w:rsidRPr="008D0F0D" w:rsidRDefault="00DE6622">
      <w:pPr>
        <w:rPr>
          <w:rFonts w:ascii="Arial" w:hAnsi="Arial"/>
          <w:sz w:val="22"/>
          <w:u w:val="single"/>
          <w:lang w:val="en-US"/>
        </w:rPr>
      </w:pPr>
      <w:r>
        <w:rPr>
          <w:rFonts w:ascii="Arial" w:hAnsi="Arial"/>
          <w:sz w:val="22"/>
          <w:u w:val="single"/>
          <w:lang w:val="en-US"/>
        </w:rPr>
        <w:t>Contact:</w:t>
      </w:r>
    </w:p>
    <w:p w14:paraId="614E009C" w14:textId="77777777" w:rsidR="000A7158" w:rsidRPr="00630436" w:rsidRDefault="000A7158">
      <w:pPr>
        <w:rPr>
          <w:rFonts w:ascii="Arial" w:hAnsi="Arial"/>
          <w:lang w:val="en-US"/>
        </w:rPr>
      </w:pPr>
    </w:p>
    <w:p w14:paraId="75A7A01B" w14:textId="77777777" w:rsidR="00B4793B" w:rsidRDefault="00B4793B" w:rsidP="00B4793B">
      <w:pPr>
        <w:rPr>
          <w:rFonts w:ascii="Arial" w:hAnsi="Arial"/>
          <w:lang w:val="en-US"/>
        </w:rPr>
      </w:pPr>
      <w:r>
        <w:rPr>
          <w:rFonts w:ascii="Arial" w:hAnsi="Arial"/>
          <w:lang w:val="en-US"/>
        </w:rPr>
        <w:t>Claudine MAYER</w:t>
      </w:r>
    </w:p>
    <w:p w14:paraId="3AB629B0" w14:textId="77777777" w:rsidR="00B4793B" w:rsidRDefault="007F68BD" w:rsidP="00B4793B">
      <w:pPr>
        <w:rPr>
          <w:rFonts w:ascii="Arial" w:hAnsi="Arial"/>
          <w:lang w:val="en-US"/>
        </w:rPr>
      </w:pPr>
      <w:hyperlink r:id="rId5" w:history="1">
        <w:r w:rsidR="00B4793B" w:rsidRPr="00833F07">
          <w:rPr>
            <w:rStyle w:val="Lienhypertexte"/>
            <w:rFonts w:ascii="Arial" w:hAnsi="Arial"/>
            <w:lang w:val="en-US"/>
          </w:rPr>
          <w:t>mayer@pasteur.fr</w:t>
        </w:r>
      </w:hyperlink>
    </w:p>
    <w:p w14:paraId="087A5E08" w14:textId="77777777"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NewRomanMTStd">
    <w:altName w:val="Arial Unicode MS"/>
    <w:panose1 w:val="00000000000000000000"/>
    <w:charset w:val="81"/>
    <w:family w:val="auto"/>
    <w:notTrueType/>
    <w:pitch w:val="default"/>
    <w:sig w:usb0="00000001" w:usb1="09060000" w:usb2="00000010" w:usb3="00000000" w:csb0="00080000"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DA1743"/>
    <w:multiLevelType w:val="hybridMultilevel"/>
    <w:tmpl w:val="10DC04E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656FC5"/>
    <w:multiLevelType w:val="hybridMultilevel"/>
    <w:tmpl w:val="F8BCEBEA"/>
    <w:lvl w:ilvl="0" w:tplc="040C000F">
      <w:start w:val="1"/>
      <w:numFmt w:val="decimal"/>
      <w:lvlText w:val="%1."/>
      <w:lvlJc w:val="left"/>
      <w:pPr>
        <w:ind w:left="720" w:hanging="360"/>
      </w:pPr>
    </w:lvl>
    <w:lvl w:ilvl="1" w:tplc="2B84B222">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3F6F9E"/>
    <w:multiLevelType w:val="hybridMultilevel"/>
    <w:tmpl w:val="98C2EE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A90F4E"/>
    <w:multiLevelType w:val="hybridMultilevel"/>
    <w:tmpl w:val="BABC3CD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F65EE0"/>
    <w:multiLevelType w:val="hybridMultilevel"/>
    <w:tmpl w:val="C10CA2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2720D1"/>
    <w:multiLevelType w:val="hybridMultilevel"/>
    <w:tmpl w:val="44F84212"/>
    <w:lvl w:ilvl="0" w:tplc="040C000F">
      <w:start w:val="1"/>
      <w:numFmt w:val="decimal"/>
      <w:lvlText w:val="%1."/>
      <w:lvlJc w:val="left"/>
      <w:pPr>
        <w:ind w:left="709" w:hanging="360"/>
      </w:p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7">
    <w:nsid w:val="58853C3B"/>
    <w:multiLevelType w:val="hybridMultilevel"/>
    <w:tmpl w:val="E784614E"/>
    <w:lvl w:ilvl="0" w:tplc="040C0015">
      <w:start w:val="1"/>
      <w:numFmt w:val="upperLetter"/>
      <w:lvlText w:val="%1."/>
      <w:lvlJc w:val="left"/>
      <w:pPr>
        <w:ind w:left="709" w:hanging="360"/>
      </w:p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8">
    <w:nsid w:val="60992BE9"/>
    <w:multiLevelType w:val="multilevel"/>
    <w:tmpl w:val="E784614E"/>
    <w:lvl w:ilvl="0">
      <w:start w:val="1"/>
      <w:numFmt w:val="upp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9">
    <w:nsid w:val="7402464E"/>
    <w:multiLevelType w:val="multilevel"/>
    <w:tmpl w:val="E784614E"/>
    <w:lvl w:ilvl="0">
      <w:start w:val="1"/>
      <w:numFmt w:val="upp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62A63"/>
    <w:rsid w:val="000A7158"/>
    <w:rsid w:val="000B0AE9"/>
    <w:rsid w:val="00147A7F"/>
    <w:rsid w:val="00176274"/>
    <w:rsid w:val="001A133F"/>
    <w:rsid w:val="001A3B71"/>
    <w:rsid w:val="00220BE1"/>
    <w:rsid w:val="002A492D"/>
    <w:rsid w:val="002E641F"/>
    <w:rsid w:val="00346BCF"/>
    <w:rsid w:val="00371880"/>
    <w:rsid w:val="00420552"/>
    <w:rsid w:val="004860CA"/>
    <w:rsid w:val="004B36F6"/>
    <w:rsid w:val="004B58A5"/>
    <w:rsid w:val="00513D28"/>
    <w:rsid w:val="00593162"/>
    <w:rsid w:val="0059572E"/>
    <w:rsid w:val="0059605C"/>
    <w:rsid w:val="005B3A3D"/>
    <w:rsid w:val="005D3184"/>
    <w:rsid w:val="006841BD"/>
    <w:rsid w:val="00685BE4"/>
    <w:rsid w:val="0072417F"/>
    <w:rsid w:val="00755F33"/>
    <w:rsid w:val="007F3B5F"/>
    <w:rsid w:val="007F68BD"/>
    <w:rsid w:val="008A66A8"/>
    <w:rsid w:val="008D1B32"/>
    <w:rsid w:val="008D2805"/>
    <w:rsid w:val="00A033BB"/>
    <w:rsid w:val="00A376B2"/>
    <w:rsid w:val="00A84BF7"/>
    <w:rsid w:val="00AC305B"/>
    <w:rsid w:val="00AC797B"/>
    <w:rsid w:val="00B4793B"/>
    <w:rsid w:val="00BE1C3A"/>
    <w:rsid w:val="00C17B5D"/>
    <w:rsid w:val="00C71DE7"/>
    <w:rsid w:val="00CE4BFC"/>
    <w:rsid w:val="00D14BA6"/>
    <w:rsid w:val="00D959D9"/>
    <w:rsid w:val="00DB5096"/>
    <w:rsid w:val="00DD2834"/>
    <w:rsid w:val="00DE6622"/>
    <w:rsid w:val="00DF041C"/>
    <w:rsid w:val="00E1632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A84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yer@pasteur.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899</Words>
  <Characters>4945</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5833</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16</cp:revision>
  <cp:lastPrinted>2012-09-10T13:24:00Z</cp:lastPrinted>
  <dcterms:created xsi:type="dcterms:W3CDTF">2017-06-20T14:27:00Z</dcterms:created>
  <dcterms:modified xsi:type="dcterms:W3CDTF">2017-09-08T09:25:00Z</dcterms:modified>
</cp:coreProperties>
</file>