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DDF16" w14:textId="218D5C80" w:rsidR="000A7158" w:rsidRPr="00685BE4" w:rsidRDefault="00685BE4">
      <w:pPr>
        <w:ind w:right="1"/>
        <w:jc w:val="center"/>
        <w:rPr>
          <w:b/>
          <w:color w:val="C00000"/>
          <w:lang w:val="en-GB"/>
        </w:rPr>
      </w:pPr>
      <w:r>
        <w:rPr>
          <w:b/>
          <w:color w:val="C00000"/>
          <w:lang w:val="en-GB"/>
        </w:rPr>
        <w:t>PhD PROPOSAL</w:t>
      </w:r>
      <w:r w:rsidR="000A7158" w:rsidRPr="00685BE4">
        <w:rPr>
          <w:b/>
          <w:color w:val="C00000"/>
          <w:lang w:val="en-GB"/>
        </w:rPr>
        <w:t xml:space="preserve"> FOR THE </w:t>
      </w:r>
    </w:p>
    <w:p w14:paraId="35B4289B" w14:textId="77777777" w:rsidR="000A7158" w:rsidRPr="00685BE4" w:rsidRDefault="000A7158">
      <w:pPr>
        <w:ind w:right="1"/>
        <w:jc w:val="center"/>
        <w:rPr>
          <w:b/>
          <w:color w:val="C00000"/>
          <w:lang w:val="en-GB"/>
        </w:rPr>
      </w:pPr>
      <w:r w:rsidRPr="00685BE4">
        <w:rPr>
          <w:b/>
          <w:color w:val="C00000"/>
          <w:lang w:val="en-GB"/>
        </w:rPr>
        <w:t>PASTEUR</w:t>
      </w:r>
      <w:r w:rsidR="0072417F" w:rsidRPr="00685BE4">
        <w:rPr>
          <w:b/>
          <w:color w:val="C00000"/>
          <w:lang w:val="en-GB"/>
        </w:rPr>
        <w:t xml:space="preserve"> </w:t>
      </w:r>
      <w:r w:rsidRPr="00685BE4">
        <w:rPr>
          <w:b/>
          <w:color w:val="C00000"/>
          <w:lang w:val="en-GB"/>
        </w:rPr>
        <w:t>-</w:t>
      </w:r>
      <w:r w:rsidR="0072417F" w:rsidRPr="00685BE4">
        <w:rPr>
          <w:b/>
          <w:color w:val="C00000"/>
          <w:lang w:val="en-GB"/>
        </w:rPr>
        <w:t xml:space="preserve"> </w:t>
      </w:r>
      <w:r w:rsidRPr="00685BE4">
        <w:rPr>
          <w:b/>
          <w:color w:val="C00000"/>
          <w:lang w:val="en-GB"/>
        </w:rPr>
        <w:t>PARIS UNIVERSITY INTERNATIONAL</w:t>
      </w:r>
      <w:r w:rsidR="00D959D9" w:rsidRPr="00685BE4">
        <w:rPr>
          <w:b/>
          <w:color w:val="C00000"/>
          <w:lang w:val="en-GB"/>
        </w:rPr>
        <w:t xml:space="preserve"> DOCTORAL</w:t>
      </w:r>
      <w:r w:rsidRPr="00685BE4">
        <w:rPr>
          <w:b/>
          <w:color w:val="C00000"/>
          <w:lang w:val="en-GB"/>
        </w:rPr>
        <w:t xml:space="preserve"> PROGRAM</w:t>
      </w:r>
    </w:p>
    <w:p w14:paraId="0B816CE6" w14:textId="77777777" w:rsidR="00685BE4" w:rsidRDefault="00685BE4">
      <w:pPr>
        <w:ind w:right="1"/>
        <w:jc w:val="center"/>
        <w:rPr>
          <w:b/>
          <w:lang w:val="en-GB"/>
        </w:rPr>
      </w:pPr>
    </w:p>
    <w:p w14:paraId="7F3B62AE" w14:textId="77777777" w:rsidR="00685BE4" w:rsidRPr="00630436" w:rsidRDefault="00685BE4">
      <w:pPr>
        <w:ind w:right="1"/>
        <w:jc w:val="center"/>
        <w:rPr>
          <w:b/>
          <w:lang w:val="en-GB"/>
        </w:rPr>
      </w:pPr>
    </w:p>
    <w:p w14:paraId="5B86A570" w14:textId="773F8695" w:rsidR="00CE4BFC" w:rsidRDefault="00CE4BFC">
      <w:pPr>
        <w:ind w:right="1"/>
        <w:jc w:val="center"/>
        <w:rPr>
          <w:lang w:val="en-GB"/>
        </w:rPr>
      </w:pPr>
      <w:r>
        <w:rPr>
          <w:lang w:val="en-GB"/>
        </w:rPr>
        <w:t>Time for applicants to contac</w:t>
      </w:r>
      <w:r w:rsidR="000B0AE9">
        <w:rPr>
          <w:lang w:val="en-GB"/>
        </w:rPr>
        <w:t xml:space="preserve">t host laboratories: September </w:t>
      </w:r>
      <w:r w:rsidR="00AC797B">
        <w:rPr>
          <w:lang w:val="en-GB"/>
        </w:rPr>
        <w:t>13</w:t>
      </w:r>
      <w:r>
        <w:rPr>
          <w:lang w:val="en-GB"/>
        </w:rPr>
        <w:t xml:space="preserve"> – November </w:t>
      </w:r>
      <w:r w:rsidR="004B58A5">
        <w:rPr>
          <w:lang w:val="en-GB"/>
        </w:rPr>
        <w:t>2, 201</w:t>
      </w:r>
      <w:r w:rsidR="00AC797B">
        <w:rPr>
          <w:lang w:val="en-GB"/>
        </w:rPr>
        <w:t>7</w:t>
      </w:r>
    </w:p>
    <w:p w14:paraId="57859F70" w14:textId="32F366AD" w:rsidR="000A7158" w:rsidRPr="00630436" w:rsidRDefault="000A7158">
      <w:pPr>
        <w:ind w:right="1"/>
        <w:jc w:val="center"/>
        <w:rPr>
          <w:lang w:val="en-GB"/>
        </w:rPr>
      </w:pPr>
      <w:r w:rsidRPr="00630436">
        <w:rPr>
          <w:lang w:val="en-GB"/>
        </w:rPr>
        <w:t xml:space="preserve">Deadline for full application: </w:t>
      </w:r>
      <w:r w:rsidR="00CE4BFC">
        <w:rPr>
          <w:lang w:val="en-GB"/>
        </w:rPr>
        <w:t>November</w:t>
      </w:r>
      <w:r w:rsidRPr="00630436">
        <w:rPr>
          <w:lang w:val="en-GB"/>
        </w:rPr>
        <w:t xml:space="preserve"> </w:t>
      </w:r>
      <w:r w:rsidR="004B58A5">
        <w:rPr>
          <w:lang w:val="en-GB"/>
        </w:rPr>
        <w:t>1</w:t>
      </w:r>
      <w:r w:rsidR="00AC797B">
        <w:rPr>
          <w:lang w:val="en-GB"/>
        </w:rPr>
        <w:t>3</w:t>
      </w:r>
      <w:r w:rsidRPr="00630436">
        <w:rPr>
          <w:lang w:val="en-GB"/>
        </w:rPr>
        <w:t>, 201</w:t>
      </w:r>
      <w:r w:rsidR="00AC797B">
        <w:rPr>
          <w:lang w:val="en-GB"/>
        </w:rPr>
        <w:t>7</w:t>
      </w:r>
    </w:p>
    <w:p w14:paraId="3C427F27" w14:textId="6D297A6E" w:rsidR="000A7158" w:rsidRPr="00630436" w:rsidRDefault="000A7158">
      <w:pPr>
        <w:ind w:right="1"/>
        <w:jc w:val="center"/>
        <w:rPr>
          <w:lang w:val="en-GB"/>
        </w:rPr>
      </w:pPr>
      <w:r>
        <w:rPr>
          <w:lang w:val="en-GB"/>
        </w:rPr>
        <w:t xml:space="preserve">Interviews: </w:t>
      </w:r>
      <w:r w:rsidR="00AC797B">
        <w:rPr>
          <w:lang w:val="en-GB"/>
        </w:rPr>
        <w:t xml:space="preserve">January 30, </w:t>
      </w:r>
      <w:r w:rsidR="00CE4BFC">
        <w:rPr>
          <w:lang w:val="en-GB"/>
        </w:rPr>
        <w:t>February</w:t>
      </w:r>
      <w:r w:rsidR="00D959D9">
        <w:rPr>
          <w:lang w:val="en-GB"/>
        </w:rPr>
        <w:t xml:space="preserve"> </w:t>
      </w:r>
      <w:r w:rsidR="00AC797B">
        <w:rPr>
          <w:lang w:val="en-GB"/>
        </w:rPr>
        <w:t>2</w:t>
      </w:r>
      <w:r>
        <w:rPr>
          <w:lang w:val="en-GB"/>
        </w:rPr>
        <w:t>, 201</w:t>
      </w:r>
      <w:r w:rsidR="00AC797B">
        <w:rPr>
          <w:lang w:val="en-GB"/>
        </w:rPr>
        <w:t>8</w:t>
      </w:r>
    </w:p>
    <w:p w14:paraId="5E14D17C" w14:textId="79F32885" w:rsidR="000A7158" w:rsidRDefault="000A7158">
      <w:pPr>
        <w:ind w:right="1"/>
        <w:jc w:val="center"/>
        <w:rPr>
          <w:lang w:val="en-GB"/>
        </w:rPr>
      </w:pPr>
      <w:r w:rsidRPr="00630436">
        <w:rPr>
          <w:lang w:val="en-GB"/>
        </w:rPr>
        <w:t>Start</w:t>
      </w:r>
      <w:r w:rsidR="004B58A5">
        <w:rPr>
          <w:lang w:val="en-GB"/>
        </w:rPr>
        <w:t xml:space="preserve"> of the Ph.D.: October </w:t>
      </w:r>
      <w:r w:rsidR="00755F33">
        <w:rPr>
          <w:lang w:val="en-GB"/>
        </w:rPr>
        <w:t>1</w:t>
      </w:r>
      <w:r>
        <w:rPr>
          <w:lang w:val="en-GB"/>
        </w:rPr>
        <w:t>, 201</w:t>
      </w:r>
      <w:r w:rsidR="00AC797B">
        <w:rPr>
          <w:lang w:val="en-GB"/>
        </w:rPr>
        <w:t>8</w:t>
      </w:r>
    </w:p>
    <w:p w14:paraId="3FD18FF7" w14:textId="77777777" w:rsidR="006F773B" w:rsidRDefault="006F773B" w:rsidP="000B0AE9">
      <w:pPr>
        <w:rPr>
          <w:b/>
          <w:lang w:val="en-US"/>
        </w:rPr>
      </w:pPr>
    </w:p>
    <w:p w14:paraId="658CC1CF" w14:textId="77777777" w:rsidR="006F773B" w:rsidRDefault="006F773B" w:rsidP="000B0AE9">
      <w:pPr>
        <w:rPr>
          <w:b/>
          <w:lang w:val="en-US"/>
        </w:rPr>
      </w:pPr>
    </w:p>
    <w:p w14:paraId="268C52CC" w14:textId="5D311A7A" w:rsidR="00BB750B" w:rsidRPr="006F773B" w:rsidRDefault="00234A72" w:rsidP="000B0AE9">
      <w:pPr>
        <w:rPr>
          <w:b/>
          <w:szCs w:val="22"/>
          <w:lang w:val="en-US"/>
        </w:rPr>
      </w:pPr>
      <w:r w:rsidRPr="006F773B">
        <w:rPr>
          <w:b/>
          <w:szCs w:val="22"/>
          <w:lang w:val="en-US"/>
        </w:rPr>
        <w:t>Title of the PhD project</w:t>
      </w:r>
      <w:r w:rsidR="000B0AE9" w:rsidRPr="006F773B">
        <w:rPr>
          <w:b/>
          <w:szCs w:val="22"/>
          <w:lang w:val="en-US"/>
        </w:rPr>
        <w:t xml:space="preserve"> </w:t>
      </w:r>
    </w:p>
    <w:p w14:paraId="343609BD" w14:textId="705116C7" w:rsidR="000B0AE9" w:rsidRPr="006F773B" w:rsidRDefault="00E5255C" w:rsidP="000B0AE9">
      <w:pPr>
        <w:rPr>
          <w:szCs w:val="22"/>
          <w:lang w:val="en-US"/>
        </w:rPr>
      </w:pPr>
      <w:r w:rsidRPr="006F773B">
        <w:rPr>
          <w:szCs w:val="22"/>
          <w:lang w:val="en-US"/>
        </w:rPr>
        <w:t>Human infection with zoonotic simian foamy retroviruses: role of virological and immunological factors in restricting viral emergence</w:t>
      </w:r>
    </w:p>
    <w:p w14:paraId="20CEAFAB" w14:textId="4ED49705" w:rsidR="000B0AE9" w:rsidRPr="006F773B" w:rsidRDefault="000B0AE9" w:rsidP="000B0AE9">
      <w:pPr>
        <w:rPr>
          <w:b/>
          <w:szCs w:val="22"/>
          <w:lang w:val="en-US"/>
        </w:rPr>
      </w:pPr>
      <w:r w:rsidRPr="006F773B">
        <w:rPr>
          <w:b/>
          <w:szCs w:val="22"/>
          <w:lang w:val="en-US"/>
        </w:rPr>
        <w:t xml:space="preserve">Keywords: </w:t>
      </w:r>
      <w:r w:rsidR="00E5255C" w:rsidRPr="006F773B">
        <w:rPr>
          <w:szCs w:val="22"/>
          <w:lang w:val="en-US"/>
        </w:rPr>
        <w:t>Retroviruses, Zoonosis, Emergence, Neutralizing antibodies</w:t>
      </w:r>
    </w:p>
    <w:p w14:paraId="79358CCF" w14:textId="1A95705C" w:rsidR="00BB750B" w:rsidRPr="006F773B" w:rsidRDefault="000B0AE9">
      <w:pPr>
        <w:rPr>
          <w:szCs w:val="22"/>
          <w:lang w:val="en-US"/>
        </w:rPr>
      </w:pPr>
      <w:r w:rsidRPr="006F773B">
        <w:rPr>
          <w:b/>
          <w:szCs w:val="22"/>
          <w:lang w:val="en-US"/>
        </w:rPr>
        <w:t xml:space="preserve">Department: </w:t>
      </w:r>
      <w:r w:rsidR="00E5255C" w:rsidRPr="006F773B">
        <w:rPr>
          <w:szCs w:val="22"/>
          <w:lang w:val="en-US"/>
        </w:rPr>
        <w:t>Virology</w:t>
      </w:r>
    </w:p>
    <w:p w14:paraId="1667D93D" w14:textId="7204337D" w:rsidR="00BB750B" w:rsidRPr="006F773B" w:rsidRDefault="000A7158">
      <w:pPr>
        <w:rPr>
          <w:szCs w:val="22"/>
          <w:lang w:val="en-US"/>
        </w:rPr>
      </w:pPr>
      <w:r w:rsidRPr="006F773B">
        <w:rPr>
          <w:b/>
          <w:szCs w:val="22"/>
          <w:lang w:val="en-US"/>
        </w:rPr>
        <w:t>Name of the lab:</w:t>
      </w:r>
      <w:r w:rsidR="00E5255C" w:rsidRPr="006F773B">
        <w:rPr>
          <w:b/>
          <w:szCs w:val="22"/>
          <w:lang w:val="en-US"/>
        </w:rPr>
        <w:t xml:space="preserve"> </w:t>
      </w:r>
      <w:r w:rsidR="00E5255C" w:rsidRPr="006F773B">
        <w:rPr>
          <w:szCs w:val="22"/>
          <w:lang w:val="en-US"/>
        </w:rPr>
        <w:t>Epidemiology and Physiopathology of oncogenic viruses</w:t>
      </w:r>
      <w:r w:rsidR="00BB750B" w:rsidRPr="006F773B">
        <w:rPr>
          <w:szCs w:val="22"/>
          <w:lang w:val="en-US"/>
        </w:rPr>
        <w:t xml:space="preserve"> (EPOV)</w:t>
      </w:r>
    </w:p>
    <w:p w14:paraId="408AAAF2" w14:textId="6B0483D4" w:rsidR="000A7158" w:rsidRPr="006F773B" w:rsidRDefault="000A7158">
      <w:pPr>
        <w:rPr>
          <w:szCs w:val="22"/>
          <w:lang w:val="en-US"/>
        </w:rPr>
      </w:pPr>
      <w:r w:rsidRPr="006F773B">
        <w:rPr>
          <w:szCs w:val="22"/>
          <w:lang w:val="en-US"/>
        </w:rPr>
        <w:t>Head of the lab:</w:t>
      </w:r>
      <w:r w:rsidR="00E5255C" w:rsidRPr="006F773B">
        <w:rPr>
          <w:szCs w:val="22"/>
          <w:lang w:val="en-US"/>
        </w:rPr>
        <w:t xml:space="preserve"> Antoine Gessain</w:t>
      </w:r>
    </w:p>
    <w:p w14:paraId="22CCDA36" w14:textId="274254F4" w:rsidR="000A7158" w:rsidRPr="006F773B" w:rsidRDefault="000A7158">
      <w:pPr>
        <w:rPr>
          <w:b/>
          <w:szCs w:val="22"/>
          <w:lang w:val="en-US"/>
        </w:rPr>
      </w:pPr>
      <w:r w:rsidRPr="006F773B">
        <w:rPr>
          <w:b/>
          <w:szCs w:val="22"/>
          <w:lang w:val="en-US"/>
        </w:rPr>
        <w:t>PhD advisor:</w:t>
      </w:r>
      <w:r w:rsidR="00E5255C" w:rsidRPr="006F773B">
        <w:rPr>
          <w:b/>
          <w:szCs w:val="22"/>
          <w:lang w:val="en-US"/>
        </w:rPr>
        <w:t xml:space="preserve"> </w:t>
      </w:r>
      <w:r w:rsidR="00E5255C" w:rsidRPr="006F773B">
        <w:rPr>
          <w:szCs w:val="22"/>
          <w:lang w:val="en-US"/>
        </w:rPr>
        <w:t>Florence Buseyne</w:t>
      </w:r>
    </w:p>
    <w:p w14:paraId="27DC0A5B" w14:textId="36C1CEB6" w:rsidR="000A7158" w:rsidRPr="006F773B" w:rsidRDefault="000A7158">
      <w:pPr>
        <w:rPr>
          <w:b/>
          <w:szCs w:val="22"/>
          <w:lang w:val="en-US"/>
        </w:rPr>
      </w:pPr>
      <w:r w:rsidRPr="006F773B">
        <w:rPr>
          <w:b/>
          <w:szCs w:val="22"/>
          <w:lang w:val="en-US"/>
        </w:rPr>
        <w:t>Email address:</w:t>
      </w:r>
      <w:r w:rsidR="00E5255C" w:rsidRPr="006F773B">
        <w:rPr>
          <w:b/>
          <w:szCs w:val="22"/>
          <w:lang w:val="en-US"/>
        </w:rPr>
        <w:t xml:space="preserve"> </w:t>
      </w:r>
      <w:r w:rsidR="00E5255C" w:rsidRPr="006F773B">
        <w:rPr>
          <w:szCs w:val="22"/>
          <w:lang w:val="en-US"/>
        </w:rPr>
        <w:t>florence.buseyne@pasteur.fr</w:t>
      </w:r>
    </w:p>
    <w:p w14:paraId="3F861C80" w14:textId="314F38CF" w:rsidR="000A7158" w:rsidRPr="006F773B" w:rsidRDefault="000A7158">
      <w:pPr>
        <w:rPr>
          <w:szCs w:val="22"/>
          <w:lang w:val="en-US"/>
        </w:rPr>
      </w:pPr>
      <w:r w:rsidRPr="006F773B">
        <w:rPr>
          <w:b/>
          <w:szCs w:val="22"/>
          <w:lang w:val="en-US"/>
        </w:rPr>
        <w:t xml:space="preserve">Web site address of the lab: </w:t>
      </w:r>
      <w:r w:rsidR="00E5255C" w:rsidRPr="006F773B">
        <w:rPr>
          <w:szCs w:val="22"/>
          <w:lang w:val="en-US"/>
        </w:rPr>
        <w:t>https://research.pasteur.fr/en/team/oncogenic-virus-epidemiology-and-pathophysiology/</w:t>
      </w:r>
    </w:p>
    <w:p w14:paraId="1700335E" w14:textId="7350B1F8" w:rsidR="000A7158" w:rsidRPr="006F773B" w:rsidRDefault="000A7158" w:rsidP="000A7158">
      <w:pPr>
        <w:rPr>
          <w:b/>
          <w:szCs w:val="22"/>
          <w:lang w:val="en-US"/>
        </w:rPr>
      </w:pPr>
      <w:r w:rsidRPr="006F773B">
        <w:rPr>
          <w:b/>
          <w:i/>
          <w:szCs w:val="22"/>
          <w:lang w:val="en-US"/>
        </w:rPr>
        <w:t>Doctoral school affiliation and University</w:t>
      </w:r>
      <w:r w:rsidRPr="006F773B">
        <w:rPr>
          <w:b/>
          <w:szCs w:val="22"/>
          <w:lang w:val="en-US"/>
        </w:rPr>
        <w:t xml:space="preserve">: </w:t>
      </w:r>
      <w:r w:rsidR="00BB750B" w:rsidRPr="006F773B">
        <w:rPr>
          <w:szCs w:val="22"/>
          <w:lang w:val="en-US"/>
        </w:rPr>
        <w:t>BioSPC,</w:t>
      </w:r>
      <w:r w:rsidR="00E5255C" w:rsidRPr="006F773B">
        <w:rPr>
          <w:szCs w:val="22"/>
          <w:lang w:val="en-US"/>
        </w:rPr>
        <w:t xml:space="preserve"> Paris-Diderot University (Paris 7).</w:t>
      </w:r>
    </w:p>
    <w:p w14:paraId="7DBF60F5" w14:textId="77777777" w:rsidR="000A7158" w:rsidRDefault="000A7158">
      <w:pPr>
        <w:rPr>
          <w:lang w:val="en-US"/>
        </w:rPr>
      </w:pPr>
    </w:p>
    <w:p w14:paraId="7EE726A9" w14:textId="77777777" w:rsidR="00DE6622" w:rsidRPr="008D0F0D" w:rsidRDefault="00DE6622">
      <w:pPr>
        <w:rPr>
          <w:lang w:val="en-US"/>
        </w:rPr>
      </w:pPr>
    </w:p>
    <w:p w14:paraId="04C31AEF" w14:textId="2E117633" w:rsidR="00DE6622" w:rsidRDefault="00DE6622">
      <w:pPr>
        <w:rPr>
          <w:u w:val="single"/>
          <w:lang w:val="en-US"/>
        </w:rPr>
      </w:pPr>
      <w:r>
        <w:rPr>
          <w:u w:val="single"/>
          <w:lang w:val="en-US"/>
        </w:rPr>
        <w:t>Presentation of the lab</w:t>
      </w:r>
      <w:r w:rsidR="00234A72">
        <w:rPr>
          <w:u w:val="single"/>
          <w:lang w:val="en-US"/>
        </w:rPr>
        <w:t>oratory and its research topics</w:t>
      </w:r>
    </w:p>
    <w:p w14:paraId="4BECE7EA" w14:textId="77777777" w:rsidR="00DE6622" w:rsidRDefault="00DE6622">
      <w:pPr>
        <w:rPr>
          <w:u w:val="single"/>
          <w:lang w:val="en-US"/>
        </w:rPr>
      </w:pPr>
    </w:p>
    <w:p w14:paraId="4169AD43" w14:textId="44D4D092" w:rsidR="00E5255C" w:rsidRDefault="00BB750B">
      <w:pPr>
        <w:rPr>
          <w:lang w:val="en-US"/>
        </w:rPr>
      </w:pPr>
      <w:r>
        <w:rPr>
          <w:lang w:val="en-US"/>
        </w:rPr>
        <w:t>The EPOV research unit</w:t>
      </w:r>
      <w:r w:rsidR="00E5255C" w:rsidRPr="00E5255C">
        <w:rPr>
          <w:lang w:val="en-US"/>
        </w:rPr>
        <w:t xml:space="preserve"> developed several research programs focusing on epidemiology, physiopathology and immunology of retroviruses – Human T Lymphotropic viruses</w:t>
      </w:r>
      <w:r w:rsidR="00E5255C">
        <w:rPr>
          <w:lang w:val="en-US"/>
        </w:rPr>
        <w:t xml:space="preserve"> (</w:t>
      </w:r>
      <w:r w:rsidR="00E5255C" w:rsidRPr="00E5255C">
        <w:rPr>
          <w:lang w:val="en-US"/>
        </w:rPr>
        <w:t>HTLV</w:t>
      </w:r>
      <w:r w:rsidR="00E5255C">
        <w:rPr>
          <w:lang w:val="en-US"/>
        </w:rPr>
        <w:t>)</w:t>
      </w:r>
      <w:r w:rsidR="00E5255C" w:rsidRPr="00E5255C">
        <w:rPr>
          <w:lang w:val="en-US"/>
        </w:rPr>
        <w:t xml:space="preserve"> and their simian counterpart (STLV), simian foamy viruses (SFV) and HIV-</w:t>
      </w:r>
      <w:r>
        <w:rPr>
          <w:lang w:val="en-US"/>
        </w:rPr>
        <w:t xml:space="preserve">- </w:t>
      </w:r>
      <w:r w:rsidR="00E5255C" w:rsidRPr="00E5255C">
        <w:rPr>
          <w:lang w:val="en-US"/>
        </w:rPr>
        <w:t>as well as herpesviruses (HHV-8), and more recently some emerging viruses, such as Chikungunya</w:t>
      </w:r>
      <w:r>
        <w:rPr>
          <w:lang w:val="en-US"/>
        </w:rPr>
        <w:t xml:space="preserve"> and Zika vir</w:t>
      </w:r>
      <w:r w:rsidR="00E57EC2">
        <w:rPr>
          <w:lang w:val="en-US"/>
        </w:rPr>
        <w:t>u</w:t>
      </w:r>
      <w:r>
        <w:rPr>
          <w:lang w:val="en-US"/>
        </w:rPr>
        <w:t>ses</w:t>
      </w:r>
      <w:r w:rsidR="00E5255C" w:rsidRPr="00E5255C">
        <w:rPr>
          <w:lang w:val="en-US"/>
        </w:rPr>
        <w:t>.</w:t>
      </w:r>
      <w:r w:rsidR="00E5255C">
        <w:rPr>
          <w:lang w:val="en-US"/>
        </w:rPr>
        <w:t xml:space="preserve"> </w:t>
      </w:r>
    </w:p>
    <w:p w14:paraId="5A89D279" w14:textId="0360B451" w:rsidR="00DE6622" w:rsidRPr="00E5255C" w:rsidRDefault="00E5255C">
      <w:pPr>
        <w:rPr>
          <w:rFonts w:ascii="Times New Roman" w:hAnsi="Times New Roman"/>
          <w:sz w:val="24"/>
          <w:lang w:val="en-US"/>
        </w:rPr>
      </w:pPr>
      <w:r>
        <w:rPr>
          <w:lang w:val="en-US"/>
        </w:rPr>
        <w:t>The research unit is composed of three group</w:t>
      </w:r>
      <w:r w:rsidR="00E57EC2">
        <w:rPr>
          <w:lang w:val="en-US"/>
        </w:rPr>
        <w:t>s</w:t>
      </w:r>
      <w:r>
        <w:rPr>
          <w:lang w:val="en-US"/>
        </w:rPr>
        <w:t>. Florence Buseyne is the head of the” Immunity in human retroviral infection</w:t>
      </w:r>
      <w:r w:rsidR="00234A72">
        <w:rPr>
          <w:lang w:val="en-US"/>
        </w:rPr>
        <w:t>s</w:t>
      </w:r>
      <w:r>
        <w:rPr>
          <w:lang w:val="en-US"/>
        </w:rPr>
        <w:t>” group.</w:t>
      </w:r>
      <w:r w:rsidR="00E57EC2">
        <w:rPr>
          <w:lang w:val="en-US"/>
        </w:rPr>
        <w:t xml:space="preserve"> </w:t>
      </w:r>
      <w:r w:rsidRPr="00E5255C">
        <w:rPr>
          <w:lang w:val="en-US"/>
        </w:rPr>
        <w:t xml:space="preserve">The central theme to </w:t>
      </w:r>
      <w:r>
        <w:rPr>
          <w:lang w:val="en-US"/>
        </w:rPr>
        <w:t>her</w:t>
      </w:r>
      <w:r w:rsidRPr="00E5255C">
        <w:rPr>
          <w:lang w:val="en-US"/>
        </w:rPr>
        <w:t xml:space="preserve"> research is the </w:t>
      </w:r>
      <w:r w:rsidRPr="00E5255C">
        <w:rPr>
          <w:rStyle w:val="lev"/>
          <w:lang w:val="en-US"/>
        </w:rPr>
        <w:t>adaptive immune r</w:t>
      </w:r>
      <w:r w:rsidR="00234A72">
        <w:rPr>
          <w:rStyle w:val="lev"/>
          <w:lang w:val="en-US"/>
        </w:rPr>
        <w:t>esponse of humans to retroviruse</w:t>
      </w:r>
      <w:r w:rsidRPr="00E5255C">
        <w:rPr>
          <w:rStyle w:val="lev"/>
          <w:lang w:val="en-US"/>
        </w:rPr>
        <w:t>s</w:t>
      </w:r>
      <w:r w:rsidRPr="00E5255C">
        <w:rPr>
          <w:lang w:val="en-US"/>
        </w:rPr>
        <w:t xml:space="preserve">. </w:t>
      </w:r>
      <w:r>
        <w:rPr>
          <w:lang w:val="en-US"/>
        </w:rPr>
        <w:t>The group works on</w:t>
      </w:r>
      <w:r w:rsidRPr="00E5255C">
        <w:rPr>
          <w:lang w:val="en-US"/>
        </w:rPr>
        <w:t xml:space="preserve"> projects in two clinical contexts. The first is </w:t>
      </w:r>
      <w:r w:rsidRPr="00E5255C">
        <w:rPr>
          <w:rStyle w:val="lev"/>
          <w:lang w:val="en-US"/>
        </w:rPr>
        <w:t>HIV pediatric infection</w:t>
      </w:r>
      <w:r w:rsidRPr="00E5255C">
        <w:rPr>
          <w:lang w:val="en-US"/>
        </w:rPr>
        <w:t xml:space="preserve">, in which virus-specific responses are generated by an immature immune system and in the presence of an immunosuppressive virus. The second context is the </w:t>
      </w:r>
      <w:r w:rsidRPr="00E5255C">
        <w:rPr>
          <w:rStyle w:val="lev"/>
          <w:lang w:val="en-US"/>
        </w:rPr>
        <w:t>cross-species transmission of simian foamy retroviruses from apes and monkeys to humans</w:t>
      </w:r>
      <w:r w:rsidRPr="00E5255C">
        <w:rPr>
          <w:lang w:val="en-US"/>
        </w:rPr>
        <w:t>. These viruses can establish a persistent infection in the new human host, but they have not emerged into the human population, probably because of effective restriction by the immune system.</w:t>
      </w:r>
    </w:p>
    <w:p w14:paraId="745C5D52" w14:textId="77777777" w:rsidR="00DE6622" w:rsidRDefault="00DE6622">
      <w:pPr>
        <w:rPr>
          <w:u w:val="single"/>
          <w:lang w:val="en-US"/>
        </w:rPr>
      </w:pPr>
    </w:p>
    <w:p w14:paraId="686EC799" w14:textId="77777777" w:rsidR="007B21AF" w:rsidRDefault="007B21AF">
      <w:pPr>
        <w:rPr>
          <w:u w:val="single"/>
          <w:lang w:val="en-US"/>
        </w:rPr>
      </w:pPr>
    </w:p>
    <w:p w14:paraId="55405841" w14:textId="789CDAAD" w:rsidR="00DE6622" w:rsidRDefault="00234A72">
      <w:pPr>
        <w:rPr>
          <w:u w:val="single"/>
          <w:lang w:val="en-US"/>
        </w:rPr>
      </w:pPr>
      <w:r>
        <w:rPr>
          <w:u w:val="single"/>
          <w:lang w:val="en-US"/>
        </w:rPr>
        <w:t>Description of the project</w:t>
      </w:r>
    </w:p>
    <w:p w14:paraId="347E1875" w14:textId="77777777" w:rsidR="00234A72" w:rsidRDefault="00234A72" w:rsidP="0032035F">
      <w:pPr>
        <w:rPr>
          <w:lang w:val="en-US"/>
        </w:rPr>
      </w:pPr>
    </w:p>
    <w:p w14:paraId="6A4C1629" w14:textId="305F8390" w:rsidR="0032035F" w:rsidRDefault="0032035F" w:rsidP="0032035F">
      <w:pPr>
        <w:rPr>
          <w:lang w:val="en-US"/>
        </w:rPr>
      </w:pPr>
      <w:r w:rsidRPr="0032035F">
        <w:rPr>
          <w:lang w:val="en-US"/>
        </w:rPr>
        <w:t xml:space="preserve">The public health relevance of </w:t>
      </w:r>
      <w:r w:rsidRPr="0032035F">
        <w:rPr>
          <w:rStyle w:val="lev"/>
          <w:lang w:val="en-US"/>
        </w:rPr>
        <w:t>retroviruses of zoonotic origin</w:t>
      </w:r>
      <w:r w:rsidRPr="0032035F">
        <w:rPr>
          <w:lang w:val="en-US"/>
        </w:rPr>
        <w:t xml:space="preserve"> is illustrated by the human immunodeficiency virus (HIV) epidemic, the worldwide distribution of human T-lymphotropic viruses (HTLVs), and the </w:t>
      </w:r>
      <w:r w:rsidR="00BB750B">
        <w:rPr>
          <w:lang w:val="en-US"/>
        </w:rPr>
        <w:t xml:space="preserve">high </w:t>
      </w:r>
      <w:r w:rsidRPr="0032035F">
        <w:rPr>
          <w:lang w:val="en-US"/>
        </w:rPr>
        <w:t xml:space="preserve">morbidity and mortality associated with </w:t>
      </w:r>
      <w:r w:rsidR="00BB750B">
        <w:rPr>
          <w:lang w:val="en-US"/>
        </w:rPr>
        <w:t>these</w:t>
      </w:r>
      <w:r w:rsidRPr="0032035F">
        <w:rPr>
          <w:lang w:val="en-US"/>
        </w:rPr>
        <w:t xml:space="preserve"> viruses. Both HIVs and HTLVs emerged in the human population after several cross-species transmission events involving retroviruses (SIVs and STLVs) endemic in </w:t>
      </w:r>
      <w:r w:rsidR="00BB750B">
        <w:rPr>
          <w:lang w:val="en-US"/>
        </w:rPr>
        <w:t>non</w:t>
      </w:r>
      <w:r w:rsidRPr="0032035F">
        <w:rPr>
          <w:lang w:val="en-US"/>
        </w:rPr>
        <w:t xml:space="preserve">human primates (NHPs). Moreover, a third genus of complex retroviruses, the foamy viruses, some of which are of simian origin, can also establish persistent infections in humans. </w:t>
      </w:r>
      <w:r w:rsidRPr="0032035F">
        <w:rPr>
          <w:b/>
          <w:lang w:val="en-US"/>
        </w:rPr>
        <w:t>Simian foamy viruses (SFVs)</w:t>
      </w:r>
      <w:r w:rsidRPr="0032035F">
        <w:rPr>
          <w:lang w:val="en-US"/>
        </w:rPr>
        <w:t xml:space="preserve"> are widespread and highly prevalent in many NHP species. These viruses can be readily isolated from the saliva and oropharyngeal secretions of infected NHPs. </w:t>
      </w:r>
      <w:r w:rsidRPr="0032035F">
        <w:rPr>
          <w:b/>
          <w:lang w:val="en-US"/>
        </w:rPr>
        <w:t>Penetrating bite wounds</w:t>
      </w:r>
      <w:r w:rsidRPr="0032035F">
        <w:rPr>
          <w:lang w:val="en-US"/>
        </w:rPr>
        <w:t xml:space="preserve"> therefore constitute a potential route of transmission to humans, leading to the establishment of </w:t>
      </w:r>
      <w:r w:rsidRPr="0032035F">
        <w:rPr>
          <w:rStyle w:val="lev"/>
          <w:lang w:val="en-US"/>
        </w:rPr>
        <w:t>life-</w:t>
      </w:r>
      <w:r w:rsidRPr="0032035F">
        <w:rPr>
          <w:rStyle w:val="lev"/>
          <w:lang w:val="en-US"/>
        </w:rPr>
        <w:lastRenderedPageBreak/>
        <w:t>long persistent infection</w:t>
      </w:r>
      <w:r w:rsidRPr="0032035F">
        <w:rPr>
          <w:lang w:val="en-US"/>
        </w:rPr>
        <w:t xml:space="preserve">. </w:t>
      </w:r>
      <w:r w:rsidRPr="0032035F">
        <w:rPr>
          <w:rStyle w:val="lev"/>
          <w:lang w:val="en-US"/>
        </w:rPr>
        <w:t>Human infection with zoonotic SFVs constitutes a unique, natural model for studies of the restriction of retrovirus emergence in humans</w:t>
      </w:r>
      <w:r w:rsidRPr="0032035F">
        <w:rPr>
          <w:lang w:val="en-US"/>
        </w:rPr>
        <w:t>.</w:t>
      </w:r>
    </w:p>
    <w:p w14:paraId="79DAFFF8" w14:textId="77777777" w:rsidR="0032035F" w:rsidRDefault="0032035F" w:rsidP="0032035F">
      <w:pPr>
        <w:rPr>
          <w:lang w:val="en-US"/>
        </w:rPr>
      </w:pPr>
    </w:p>
    <w:p w14:paraId="7A365A07" w14:textId="17B5EF5C" w:rsidR="009453FE" w:rsidRDefault="0032035F" w:rsidP="0032035F">
      <w:pPr>
        <w:rPr>
          <w:szCs w:val="22"/>
          <w:lang w:val="en-US"/>
        </w:rPr>
      </w:pPr>
      <w:r>
        <w:rPr>
          <w:szCs w:val="22"/>
          <w:lang w:val="en-US"/>
        </w:rPr>
        <w:t>The team has recently shown that</w:t>
      </w:r>
      <w:r w:rsidRPr="00971BCC">
        <w:rPr>
          <w:szCs w:val="22"/>
          <w:lang w:val="en-US"/>
        </w:rPr>
        <w:t xml:space="preserve"> neutralizing antibodies</w:t>
      </w:r>
      <w:r>
        <w:rPr>
          <w:szCs w:val="22"/>
          <w:lang w:val="en-US"/>
        </w:rPr>
        <w:t xml:space="preserve"> are present</w:t>
      </w:r>
      <w:r w:rsidRPr="00971BCC">
        <w:rPr>
          <w:szCs w:val="22"/>
          <w:lang w:val="en-US"/>
        </w:rPr>
        <w:t xml:space="preserve"> </w:t>
      </w:r>
      <w:r>
        <w:rPr>
          <w:szCs w:val="22"/>
          <w:lang w:val="en-US"/>
        </w:rPr>
        <w:t xml:space="preserve">at high titers </w:t>
      </w:r>
      <w:r w:rsidRPr="00971BCC">
        <w:rPr>
          <w:szCs w:val="22"/>
          <w:lang w:val="en-US"/>
        </w:rPr>
        <w:t>in most SFV-infected individuals</w:t>
      </w:r>
      <w:r w:rsidR="00BB750B">
        <w:rPr>
          <w:szCs w:val="22"/>
          <w:lang w:val="en-US"/>
        </w:rPr>
        <w:t>. These antibodies</w:t>
      </w:r>
      <w:r>
        <w:rPr>
          <w:szCs w:val="22"/>
          <w:lang w:val="en-US"/>
        </w:rPr>
        <w:t xml:space="preserve"> </w:t>
      </w:r>
      <w:r w:rsidR="00BB750B">
        <w:rPr>
          <w:szCs w:val="22"/>
          <w:lang w:val="en-US"/>
        </w:rPr>
        <w:t>target</w:t>
      </w:r>
      <w:r>
        <w:rPr>
          <w:szCs w:val="22"/>
          <w:lang w:val="en-US"/>
        </w:rPr>
        <w:t xml:space="preserve"> highly conserved region</w:t>
      </w:r>
      <w:r w:rsidR="00BB750B">
        <w:rPr>
          <w:szCs w:val="22"/>
          <w:lang w:val="en-US"/>
        </w:rPr>
        <w:t>s</w:t>
      </w:r>
      <w:r>
        <w:rPr>
          <w:szCs w:val="22"/>
          <w:lang w:val="en-US"/>
        </w:rPr>
        <w:t xml:space="preserve"> of the viral envelope</w:t>
      </w:r>
      <w:r w:rsidR="00234A72">
        <w:rPr>
          <w:szCs w:val="22"/>
          <w:lang w:val="en-US"/>
        </w:rPr>
        <w:t xml:space="preserve"> and are associated with the control of SFV replication</w:t>
      </w:r>
      <w:r>
        <w:rPr>
          <w:szCs w:val="22"/>
          <w:lang w:val="en-US"/>
        </w:rPr>
        <w:t>.</w:t>
      </w:r>
      <w:r w:rsidR="00CF5E4F">
        <w:rPr>
          <w:szCs w:val="22"/>
          <w:lang w:val="en-US"/>
        </w:rPr>
        <w:t xml:space="preserve"> The PhD thesis </w:t>
      </w:r>
      <w:r w:rsidR="00234A72">
        <w:rPr>
          <w:szCs w:val="22"/>
          <w:lang w:val="en-US"/>
        </w:rPr>
        <w:t>will broaden the knowledge on antiviral antibodies against SFV infecting humans. The project aims are:</w:t>
      </w:r>
    </w:p>
    <w:p w14:paraId="4013782B" w14:textId="39AC4928" w:rsidR="009453FE" w:rsidRDefault="00CF5E4F" w:rsidP="005E5FD8">
      <w:pPr>
        <w:rPr>
          <w:szCs w:val="22"/>
          <w:lang w:val="en-US"/>
        </w:rPr>
      </w:pPr>
      <w:r>
        <w:rPr>
          <w:b/>
          <w:szCs w:val="22"/>
          <w:lang w:val="en-US"/>
        </w:rPr>
        <w:t>D</w:t>
      </w:r>
      <w:r w:rsidR="0032035F" w:rsidRPr="00971BCC">
        <w:rPr>
          <w:b/>
          <w:szCs w:val="22"/>
          <w:lang w:val="en-US"/>
        </w:rPr>
        <w:t>efine the antigenic epitopes</w:t>
      </w:r>
      <w:r>
        <w:rPr>
          <w:b/>
          <w:szCs w:val="22"/>
          <w:lang w:val="en-US"/>
        </w:rPr>
        <w:t xml:space="preserve"> targeted by neutralizing antibodies</w:t>
      </w:r>
      <w:r w:rsidR="0032035F" w:rsidRPr="00971BCC">
        <w:rPr>
          <w:szCs w:val="22"/>
          <w:lang w:val="en-US"/>
        </w:rPr>
        <w:t>.</w:t>
      </w:r>
      <w:r w:rsidR="0032035F">
        <w:rPr>
          <w:szCs w:val="22"/>
          <w:lang w:val="en-US"/>
        </w:rPr>
        <w:t xml:space="preserve"> A three-step strategy is planned: </w:t>
      </w:r>
      <w:r w:rsidR="0032035F" w:rsidRPr="000E7181">
        <w:rPr>
          <w:i/>
          <w:szCs w:val="22"/>
          <w:lang w:val="en-US"/>
        </w:rPr>
        <w:t>in silico</w:t>
      </w:r>
      <w:r w:rsidR="0032035F">
        <w:rPr>
          <w:szCs w:val="22"/>
          <w:lang w:val="en-US"/>
        </w:rPr>
        <w:t xml:space="preserve"> prediction of antigenic peptides, neutralization assay based on competition with linear peptide or protein subdomains, functional validation of virus vulnerability sites using viral vectors. </w:t>
      </w:r>
      <w:r w:rsidR="005E5FD8" w:rsidRPr="005E5FD8">
        <w:rPr>
          <w:szCs w:val="22"/>
          <w:lang w:val="en-US"/>
        </w:rPr>
        <w:t xml:space="preserve">Antibodies </w:t>
      </w:r>
      <w:r w:rsidR="005E5FD8">
        <w:rPr>
          <w:szCs w:val="22"/>
          <w:lang w:val="en-US"/>
        </w:rPr>
        <w:t>are</w:t>
      </w:r>
      <w:r w:rsidR="005E5FD8" w:rsidRPr="005E5FD8">
        <w:rPr>
          <w:szCs w:val="22"/>
          <w:lang w:val="en-US"/>
        </w:rPr>
        <w:t xml:space="preserve"> quantified in the plasma of SFV-infected subjects</w:t>
      </w:r>
      <w:r w:rsidR="005E5FD8">
        <w:rPr>
          <w:szCs w:val="22"/>
          <w:lang w:val="en-US"/>
        </w:rPr>
        <w:t>.</w:t>
      </w:r>
      <w:r w:rsidR="005E5FD8" w:rsidRPr="005E5FD8">
        <w:rPr>
          <w:szCs w:val="22"/>
          <w:lang w:val="en-US"/>
        </w:rPr>
        <w:t xml:space="preserve"> An SFV microtitration assay </w:t>
      </w:r>
      <w:r w:rsidR="005E5FD8">
        <w:rPr>
          <w:szCs w:val="22"/>
          <w:lang w:val="en-US"/>
        </w:rPr>
        <w:t>is</w:t>
      </w:r>
      <w:r w:rsidR="005E5FD8" w:rsidRPr="005E5FD8">
        <w:rPr>
          <w:szCs w:val="22"/>
          <w:lang w:val="en-US"/>
        </w:rPr>
        <w:t xml:space="preserve"> carried out with an indicator cell line containing a β-galactosidase gene under the con</w:t>
      </w:r>
      <w:r w:rsidR="005E5FD8">
        <w:rPr>
          <w:szCs w:val="22"/>
          <w:lang w:val="en-US"/>
        </w:rPr>
        <w:t>trol of the promoter region of SFV. Viral foamy vector carrying a fluorescent transgene are used in neutralization assay</w:t>
      </w:r>
      <w:r w:rsidR="00234A72">
        <w:rPr>
          <w:szCs w:val="22"/>
          <w:lang w:val="en-US"/>
        </w:rPr>
        <w:t>s</w:t>
      </w:r>
      <w:r w:rsidR="005E5FD8">
        <w:rPr>
          <w:szCs w:val="22"/>
          <w:lang w:val="en-US"/>
        </w:rPr>
        <w:t xml:space="preserve">. Their envelope </w:t>
      </w:r>
      <w:r w:rsidR="00BB750B">
        <w:rPr>
          <w:szCs w:val="22"/>
          <w:lang w:val="en-US"/>
        </w:rPr>
        <w:t>will be</w:t>
      </w:r>
      <w:r w:rsidR="005E5FD8">
        <w:rPr>
          <w:szCs w:val="22"/>
          <w:lang w:val="en-US"/>
        </w:rPr>
        <w:t xml:space="preserve"> modified by PCR cloning and/or mutagenesis.</w:t>
      </w:r>
    </w:p>
    <w:p w14:paraId="054F159A" w14:textId="77777777" w:rsidR="009453FE" w:rsidRDefault="009453FE" w:rsidP="0032035F">
      <w:pPr>
        <w:rPr>
          <w:szCs w:val="22"/>
          <w:lang w:val="en-US"/>
        </w:rPr>
      </w:pPr>
    </w:p>
    <w:p w14:paraId="10AF99A3" w14:textId="7EA38506" w:rsidR="00207D43" w:rsidRDefault="00207D43" w:rsidP="00207D43">
      <w:pPr>
        <w:rPr>
          <w:szCs w:val="22"/>
          <w:lang w:val="en-US"/>
        </w:rPr>
      </w:pPr>
      <w:r w:rsidRPr="005E5FD8">
        <w:rPr>
          <w:b/>
          <w:szCs w:val="22"/>
          <w:lang w:val="en-US"/>
        </w:rPr>
        <w:t>Study human monoclonal antibodies specific for SFV</w:t>
      </w:r>
      <w:r>
        <w:rPr>
          <w:szCs w:val="22"/>
          <w:lang w:val="en-US"/>
        </w:rPr>
        <w:t>.</w:t>
      </w:r>
      <w:r w:rsidR="00BB750B">
        <w:rPr>
          <w:szCs w:val="22"/>
          <w:lang w:val="en-US"/>
        </w:rPr>
        <w:t xml:space="preserve"> After identification of immunodominant epitopes, p</w:t>
      </w:r>
      <w:r>
        <w:rPr>
          <w:szCs w:val="22"/>
          <w:lang w:val="en-US"/>
        </w:rPr>
        <w:t xml:space="preserve">eripheral blood B lymphocytes </w:t>
      </w:r>
      <w:r w:rsidR="00234A72">
        <w:rPr>
          <w:szCs w:val="22"/>
          <w:lang w:val="en-US"/>
        </w:rPr>
        <w:t>are</w:t>
      </w:r>
      <w:r>
        <w:rPr>
          <w:szCs w:val="22"/>
          <w:lang w:val="en-US"/>
        </w:rPr>
        <w:t xml:space="preserve"> stimulated </w:t>
      </w:r>
      <w:r w:rsidRPr="00234A72">
        <w:rPr>
          <w:i/>
          <w:szCs w:val="22"/>
          <w:lang w:val="en-US"/>
        </w:rPr>
        <w:t>in vitro</w:t>
      </w:r>
      <w:r>
        <w:rPr>
          <w:szCs w:val="22"/>
          <w:lang w:val="en-US"/>
        </w:rPr>
        <w:t xml:space="preserve"> with peptides carrying the neutralizing epitopes and B cell growth factors. Responding cells </w:t>
      </w:r>
      <w:r w:rsidR="00234A72">
        <w:rPr>
          <w:szCs w:val="22"/>
          <w:lang w:val="en-US"/>
        </w:rPr>
        <w:t>are</w:t>
      </w:r>
      <w:r>
        <w:rPr>
          <w:szCs w:val="22"/>
          <w:lang w:val="en-US"/>
        </w:rPr>
        <w:t xml:space="preserve"> labelled with </w:t>
      </w:r>
      <w:r w:rsidR="00E57EC2">
        <w:rPr>
          <w:szCs w:val="22"/>
          <w:lang w:val="en-US"/>
        </w:rPr>
        <w:t>fluorescently</w:t>
      </w:r>
      <w:r>
        <w:rPr>
          <w:szCs w:val="22"/>
          <w:lang w:val="en-US"/>
        </w:rPr>
        <w:t xml:space="preserve"> tagged epitopes, sorted by flow cytometry. Immunoglobulin chains </w:t>
      </w:r>
      <w:r w:rsidR="00234A72">
        <w:rPr>
          <w:szCs w:val="22"/>
          <w:lang w:val="en-US"/>
        </w:rPr>
        <w:t>are</w:t>
      </w:r>
      <w:r>
        <w:rPr>
          <w:szCs w:val="22"/>
          <w:lang w:val="en-US"/>
        </w:rPr>
        <w:t xml:space="preserve"> amplified by PCR, sequenced and analyzed. Monoclonal </w:t>
      </w:r>
      <w:r w:rsidR="005E5FD8">
        <w:rPr>
          <w:szCs w:val="22"/>
          <w:lang w:val="en-US"/>
        </w:rPr>
        <w:t xml:space="preserve">antibodies </w:t>
      </w:r>
      <w:r w:rsidR="00234A72">
        <w:rPr>
          <w:szCs w:val="22"/>
          <w:lang w:val="en-US"/>
        </w:rPr>
        <w:t>are</w:t>
      </w:r>
      <w:r w:rsidR="005E5FD8">
        <w:rPr>
          <w:szCs w:val="22"/>
          <w:lang w:val="en-US"/>
        </w:rPr>
        <w:t xml:space="preserve"> produced by cotransfection of heavy and light chains.</w:t>
      </w:r>
      <w:r w:rsidR="00BB750B">
        <w:rPr>
          <w:szCs w:val="22"/>
          <w:lang w:val="en-US"/>
        </w:rPr>
        <w:t xml:space="preserve"> Their sequence and function will be characterized.</w:t>
      </w:r>
    </w:p>
    <w:p w14:paraId="64A574CB" w14:textId="77777777" w:rsidR="005E5FD8" w:rsidRDefault="005E5FD8" w:rsidP="00207D43">
      <w:pPr>
        <w:rPr>
          <w:szCs w:val="22"/>
          <w:lang w:val="en-US"/>
        </w:rPr>
      </w:pPr>
    </w:p>
    <w:p w14:paraId="3B8BFB7E" w14:textId="66FD2C5C" w:rsidR="005E5FD8" w:rsidRDefault="005E5FD8" w:rsidP="005E5FD8">
      <w:pPr>
        <w:rPr>
          <w:szCs w:val="22"/>
          <w:lang w:val="en-US"/>
        </w:rPr>
      </w:pPr>
      <w:r w:rsidRPr="00207D43">
        <w:rPr>
          <w:b/>
          <w:szCs w:val="22"/>
          <w:lang w:val="en-US"/>
        </w:rPr>
        <w:t>Assess the ability of antibodies to mediate the lysis of infected cells.</w:t>
      </w:r>
      <w:r>
        <w:rPr>
          <w:szCs w:val="22"/>
          <w:lang w:val="en-US"/>
        </w:rPr>
        <w:t xml:space="preserve"> A flow cytometry-based assay</w:t>
      </w:r>
      <w:r w:rsidRPr="00CF5E4F">
        <w:rPr>
          <w:szCs w:val="22"/>
          <w:lang w:val="en-US"/>
        </w:rPr>
        <w:t xml:space="preserve"> evaluating the killing of fluorescently labeled target cells </w:t>
      </w:r>
      <w:r w:rsidR="00234A72">
        <w:rPr>
          <w:szCs w:val="22"/>
          <w:lang w:val="en-US"/>
        </w:rPr>
        <w:t>is</w:t>
      </w:r>
      <w:r>
        <w:rPr>
          <w:szCs w:val="22"/>
          <w:lang w:val="en-US"/>
        </w:rPr>
        <w:t xml:space="preserve"> used</w:t>
      </w:r>
      <w:r w:rsidRPr="00CF5E4F">
        <w:rPr>
          <w:szCs w:val="22"/>
          <w:lang w:val="en-US"/>
        </w:rPr>
        <w:t xml:space="preserve">. </w:t>
      </w:r>
      <w:r w:rsidR="00234A72">
        <w:rPr>
          <w:szCs w:val="22"/>
          <w:lang w:val="en-US"/>
        </w:rPr>
        <w:t xml:space="preserve">Target cells are </w:t>
      </w:r>
      <w:r w:rsidRPr="00CF5E4F">
        <w:rPr>
          <w:szCs w:val="22"/>
          <w:lang w:val="en-US"/>
        </w:rPr>
        <w:t xml:space="preserve">cell lines infected with primary SFV </w:t>
      </w:r>
      <w:r w:rsidR="00234A72">
        <w:rPr>
          <w:szCs w:val="22"/>
          <w:lang w:val="en-US"/>
        </w:rPr>
        <w:t xml:space="preserve">strains </w:t>
      </w:r>
      <w:r w:rsidRPr="00CF5E4F">
        <w:rPr>
          <w:szCs w:val="22"/>
          <w:lang w:val="en-US"/>
        </w:rPr>
        <w:t xml:space="preserve">from our study population. They </w:t>
      </w:r>
      <w:r w:rsidR="00234A72">
        <w:rPr>
          <w:szCs w:val="22"/>
          <w:lang w:val="en-US"/>
        </w:rPr>
        <w:t>are</w:t>
      </w:r>
      <w:r w:rsidRPr="00CF5E4F">
        <w:rPr>
          <w:szCs w:val="22"/>
          <w:lang w:val="en-US"/>
        </w:rPr>
        <w:t xml:space="preserve"> labeled with carboxyfluorescein succinimidyl ester (CFSE) and a lipophilic dye (PKH-26, Sigma) and incubated with plasma from SFV-infected donors as a source of antibodies. PBMCs from uninfected donors </w:t>
      </w:r>
      <w:r w:rsidR="00234A72">
        <w:rPr>
          <w:szCs w:val="22"/>
          <w:lang w:val="en-US"/>
        </w:rPr>
        <w:t>are</w:t>
      </w:r>
      <w:r w:rsidRPr="00CF5E4F">
        <w:rPr>
          <w:szCs w:val="22"/>
          <w:lang w:val="en-US"/>
        </w:rPr>
        <w:t xml:space="preserve"> used as a source of CD16+ (FcγRIII) killer cells for the ADCC assay. After a four-hour incubation period, flow cytometry </w:t>
      </w:r>
      <w:r w:rsidR="00234A72">
        <w:rPr>
          <w:szCs w:val="22"/>
          <w:lang w:val="en-US"/>
        </w:rPr>
        <w:t>is</w:t>
      </w:r>
      <w:r w:rsidRPr="00CF5E4F">
        <w:rPr>
          <w:szCs w:val="22"/>
          <w:lang w:val="en-US"/>
        </w:rPr>
        <w:t xml:space="preserve"> carried </w:t>
      </w:r>
      <w:r w:rsidR="00234A72">
        <w:rPr>
          <w:szCs w:val="22"/>
          <w:lang w:val="en-US"/>
        </w:rPr>
        <w:t>out</w:t>
      </w:r>
      <w:r w:rsidRPr="00CF5E4F">
        <w:rPr>
          <w:szCs w:val="22"/>
          <w:lang w:val="en-US"/>
        </w:rPr>
        <w:t xml:space="preserve"> to detect cell lysis on the basis of a loss of CFSE cytoplasmic labeling and the retention of PKH-26 membrane staining.</w:t>
      </w:r>
    </w:p>
    <w:p w14:paraId="043BD689" w14:textId="77777777" w:rsidR="005E5FD8" w:rsidRDefault="005E5FD8" w:rsidP="005E5FD8">
      <w:pPr>
        <w:rPr>
          <w:szCs w:val="22"/>
          <w:lang w:val="en-US"/>
        </w:rPr>
      </w:pPr>
    </w:p>
    <w:p w14:paraId="7CEC2812" w14:textId="77777777" w:rsidR="007B21AF" w:rsidRDefault="007B21AF" w:rsidP="005E5FD8">
      <w:pPr>
        <w:rPr>
          <w:szCs w:val="22"/>
          <w:lang w:val="en-US"/>
        </w:rPr>
      </w:pPr>
    </w:p>
    <w:p w14:paraId="06D7D272" w14:textId="77777777" w:rsidR="00DE6622" w:rsidRDefault="00DE6622">
      <w:pPr>
        <w:rPr>
          <w:u w:val="single"/>
          <w:lang w:val="en-US"/>
        </w:rPr>
      </w:pPr>
      <w:r>
        <w:rPr>
          <w:u w:val="single"/>
          <w:lang w:val="en-US"/>
        </w:rPr>
        <w:t>References:</w:t>
      </w:r>
    </w:p>
    <w:p w14:paraId="20B103C2" w14:textId="77777777" w:rsidR="00DE6622" w:rsidRDefault="00DE6622">
      <w:pPr>
        <w:rPr>
          <w:u w:val="single"/>
          <w:lang w:val="en-US"/>
        </w:rPr>
      </w:pPr>
    </w:p>
    <w:p w14:paraId="39E01C1F" w14:textId="7D688709" w:rsidR="005E5FD8" w:rsidRDefault="005E5FD8" w:rsidP="002834D5">
      <w:pPr>
        <w:rPr>
          <w:noProof/>
          <w:lang w:val="en-US"/>
        </w:rPr>
      </w:pPr>
      <w:r w:rsidRPr="00237F59">
        <w:rPr>
          <w:noProof/>
          <w:lang w:val="en-US"/>
        </w:rPr>
        <w:tab/>
      </w:r>
      <w:r w:rsidRPr="00237F59">
        <w:rPr>
          <w:rFonts w:cs="Arial"/>
          <w:noProof/>
          <w:lang w:val="en-US"/>
        </w:rPr>
        <w:t xml:space="preserve">Rua R, Betsem E, Montange T, </w:t>
      </w:r>
      <w:r w:rsidRPr="00237F59">
        <w:rPr>
          <w:rFonts w:cs="Arial"/>
          <w:noProof/>
          <w:u w:val="single"/>
          <w:lang w:val="en-US"/>
        </w:rPr>
        <w:t>Buseyne F</w:t>
      </w:r>
      <w:r w:rsidRPr="00237F59">
        <w:rPr>
          <w:rFonts w:cs="Arial"/>
          <w:noProof/>
          <w:lang w:val="en-US"/>
        </w:rPr>
        <w:t>, Gessain A.</w:t>
      </w:r>
      <w:r w:rsidRPr="00237F59">
        <w:rPr>
          <w:noProof/>
          <w:lang w:val="en-US"/>
        </w:rPr>
        <w:t xml:space="preserve"> In vivo cellular tropism of gorilla simian foamy virus in blood of infected humans. </w:t>
      </w:r>
      <w:r w:rsidRPr="00237F59">
        <w:rPr>
          <w:b/>
          <w:noProof/>
          <w:lang w:val="en-US"/>
        </w:rPr>
        <w:t>J Virol</w:t>
      </w:r>
      <w:r w:rsidRPr="00237F59">
        <w:rPr>
          <w:noProof/>
          <w:lang w:val="en-US"/>
        </w:rPr>
        <w:t>. 2014;88:13429-35. doi: 10.1128/jvi.01801-14. PubMed PMID: 25210185; PMCID: PMC4249094.</w:t>
      </w:r>
    </w:p>
    <w:p w14:paraId="65A3AAB9" w14:textId="77777777" w:rsidR="005E5FD8" w:rsidRPr="00237F59" w:rsidRDefault="005E5FD8" w:rsidP="005E5FD8">
      <w:pPr>
        <w:rPr>
          <w:noProof/>
          <w:lang w:val="en-US"/>
        </w:rPr>
      </w:pPr>
    </w:p>
    <w:p w14:paraId="52D976C3" w14:textId="77777777" w:rsidR="005E5FD8" w:rsidRDefault="005E5FD8" w:rsidP="005E5FD8">
      <w:pPr>
        <w:rPr>
          <w:noProof/>
          <w:lang w:val="en-US"/>
        </w:rPr>
      </w:pPr>
      <w:r w:rsidRPr="00237F59">
        <w:rPr>
          <w:noProof/>
          <w:lang w:val="en-US"/>
        </w:rPr>
        <w:tab/>
      </w:r>
      <w:r w:rsidRPr="00237F59">
        <w:rPr>
          <w:rFonts w:cs="Arial"/>
          <w:noProof/>
          <w:lang w:val="en-US"/>
        </w:rPr>
        <w:t xml:space="preserve">Richard L, Rua R, Betsem E, Mouinga-Ondeme A, Kazanji M, Leroy E, Njouom R, </w:t>
      </w:r>
      <w:r w:rsidRPr="00237F59">
        <w:rPr>
          <w:rFonts w:cs="Arial"/>
          <w:noProof/>
          <w:u w:val="single"/>
          <w:lang w:val="en-US"/>
        </w:rPr>
        <w:t>Buseyne F</w:t>
      </w:r>
      <w:r w:rsidRPr="00237F59">
        <w:rPr>
          <w:rFonts w:cs="Arial"/>
          <w:noProof/>
          <w:lang w:val="en-US"/>
        </w:rPr>
        <w:t>, Afonso PV, Gessain A.</w:t>
      </w:r>
      <w:r w:rsidRPr="00237F59">
        <w:rPr>
          <w:noProof/>
          <w:lang w:val="en-US"/>
        </w:rPr>
        <w:t xml:space="preserve"> Cocirculation of Two env Molecular Variants, of Possible Recombinant Origin, in Gorilla and Chimpanzee Simian Foamy Virus Strains from Central Africa. </w:t>
      </w:r>
      <w:r w:rsidRPr="00237F59">
        <w:rPr>
          <w:b/>
          <w:noProof/>
          <w:lang w:val="en-US"/>
        </w:rPr>
        <w:t>J Virol</w:t>
      </w:r>
      <w:r w:rsidRPr="00237F59">
        <w:rPr>
          <w:noProof/>
          <w:lang w:val="en-US"/>
        </w:rPr>
        <w:t>. 2015;89:12480-91. doi: 10.1128/jvi.01798-15. PubMed PMID: 26446599; PMCID: PMC4665256.</w:t>
      </w:r>
    </w:p>
    <w:p w14:paraId="7BAE04D5" w14:textId="77777777" w:rsidR="005E5FD8" w:rsidRPr="00237F59" w:rsidRDefault="005E5FD8" w:rsidP="005E5FD8">
      <w:pPr>
        <w:rPr>
          <w:noProof/>
          <w:lang w:val="en-US"/>
        </w:rPr>
      </w:pPr>
    </w:p>
    <w:p w14:paraId="5DFC5218" w14:textId="77777777" w:rsidR="005E5FD8" w:rsidRDefault="005E5FD8" w:rsidP="005E5FD8">
      <w:pPr>
        <w:rPr>
          <w:noProof/>
          <w:lang w:val="en-US"/>
        </w:rPr>
      </w:pPr>
      <w:r w:rsidRPr="00237F59">
        <w:rPr>
          <w:noProof/>
          <w:lang w:val="en-US"/>
        </w:rPr>
        <w:tab/>
      </w:r>
      <w:r w:rsidRPr="00237F59">
        <w:rPr>
          <w:rFonts w:cs="Arial"/>
          <w:noProof/>
          <w:lang w:val="en-US"/>
        </w:rPr>
        <w:t xml:space="preserve">Lambert C, Rua R, Gessain A, </w:t>
      </w:r>
      <w:r w:rsidRPr="00237F59">
        <w:rPr>
          <w:rFonts w:cs="Arial"/>
          <w:noProof/>
          <w:u w:val="single"/>
          <w:lang w:val="en-US"/>
        </w:rPr>
        <w:t>Buseyne F</w:t>
      </w:r>
      <w:r w:rsidRPr="00237F59">
        <w:rPr>
          <w:rFonts w:cs="Arial"/>
          <w:noProof/>
          <w:lang w:val="en-US"/>
        </w:rPr>
        <w:t>.</w:t>
      </w:r>
      <w:r w:rsidRPr="00237F59">
        <w:rPr>
          <w:noProof/>
          <w:lang w:val="en-US"/>
        </w:rPr>
        <w:t xml:space="preserve"> A new sensitive indicator cell line reveals cross-transactivation of the viral LTR by gorilla and chimpanzee simian foamy viruses. </w:t>
      </w:r>
      <w:r w:rsidRPr="00237F59">
        <w:rPr>
          <w:b/>
          <w:noProof/>
          <w:lang w:val="en-US"/>
        </w:rPr>
        <w:t>Virology</w:t>
      </w:r>
      <w:r w:rsidRPr="00237F59">
        <w:rPr>
          <w:noProof/>
          <w:lang w:val="en-US"/>
        </w:rPr>
        <w:t>. 2016;496:219-26. doi: 10.1016/j.virol.2016.06.010. PubMed PMID: 27348053.</w:t>
      </w:r>
    </w:p>
    <w:p w14:paraId="33E64028" w14:textId="77777777" w:rsidR="005E5FD8" w:rsidRPr="00237F59" w:rsidRDefault="005E5FD8" w:rsidP="005E5FD8">
      <w:pPr>
        <w:rPr>
          <w:noProof/>
          <w:lang w:val="en-US"/>
        </w:rPr>
      </w:pPr>
    </w:p>
    <w:p w14:paraId="2338056A" w14:textId="77777777" w:rsidR="005E5FD8" w:rsidRPr="00237F59" w:rsidRDefault="005E5FD8" w:rsidP="005E5FD8">
      <w:pPr>
        <w:rPr>
          <w:noProof/>
          <w:lang w:val="en-US"/>
        </w:rPr>
      </w:pPr>
      <w:r w:rsidRPr="00237F59">
        <w:rPr>
          <w:noProof/>
          <w:lang w:val="en-US"/>
        </w:rPr>
        <w:tab/>
      </w:r>
      <w:r w:rsidRPr="00237F59">
        <w:rPr>
          <w:rFonts w:cs="Arial"/>
          <w:noProof/>
          <w:u w:val="single"/>
          <w:lang w:val="en-US"/>
        </w:rPr>
        <w:t>Buseyne F</w:t>
      </w:r>
      <w:r w:rsidRPr="00237F59">
        <w:rPr>
          <w:rFonts w:cs="Arial"/>
          <w:noProof/>
          <w:lang w:val="en-US"/>
        </w:rPr>
        <w:t>, Gessain A, Soares MA, Santos AF, Materniak-Kornas M, Lesage P, Zamborlini A, Lochelt M, Qiao W, Lindemann D, Wohrl BM, Stoye JP, Taylor IA, Khan AS.</w:t>
      </w:r>
      <w:r w:rsidRPr="00237F59">
        <w:rPr>
          <w:noProof/>
          <w:lang w:val="en-US"/>
        </w:rPr>
        <w:t xml:space="preserve"> Eleventh International Foamy Virus Conference-Meeting Report. </w:t>
      </w:r>
      <w:r w:rsidRPr="00237F59">
        <w:rPr>
          <w:b/>
          <w:noProof/>
          <w:lang w:val="en-US"/>
        </w:rPr>
        <w:t>Viruses</w:t>
      </w:r>
      <w:r w:rsidRPr="00237F59">
        <w:rPr>
          <w:noProof/>
          <w:lang w:val="en-US"/>
        </w:rPr>
        <w:t>. 2016;8. doi: 10.3390/v8110318. PubMed PMID: 27886074; PMCID: PMC5127032.</w:t>
      </w:r>
    </w:p>
    <w:p w14:paraId="41E9E0A0" w14:textId="77777777" w:rsidR="00DE6622" w:rsidRDefault="00DE6622">
      <w:pPr>
        <w:rPr>
          <w:u w:val="single"/>
          <w:lang w:val="en-US"/>
        </w:rPr>
      </w:pPr>
    </w:p>
    <w:p w14:paraId="5BF8AC44" w14:textId="5BF58C46" w:rsidR="00DE6622" w:rsidRDefault="00DE6622">
      <w:pPr>
        <w:rPr>
          <w:u w:val="single"/>
          <w:lang w:val="en-US"/>
        </w:rPr>
      </w:pPr>
      <w:r>
        <w:rPr>
          <w:u w:val="single"/>
          <w:lang w:val="en-US"/>
        </w:rPr>
        <w:t>Ex</w:t>
      </w:r>
      <w:r w:rsidR="00234A72">
        <w:rPr>
          <w:u w:val="single"/>
          <w:lang w:val="en-US"/>
        </w:rPr>
        <w:t>pected profile of the candidate</w:t>
      </w:r>
    </w:p>
    <w:p w14:paraId="6DF596A7" w14:textId="77777777" w:rsidR="00DE6622" w:rsidRDefault="00DE6622">
      <w:pPr>
        <w:rPr>
          <w:u w:val="single"/>
          <w:lang w:val="en-US"/>
        </w:rPr>
      </w:pPr>
    </w:p>
    <w:p w14:paraId="257C9240" w14:textId="199BA615" w:rsidR="005E5FD8" w:rsidRPr="005E5FD8" w:rsidRDefault="005E5FD8" w:rsidP="005E5FD8">
      <w:pPr>
        <w:rPr>
          <w:lang w:val="en-US"/>
        </w:rPr>
      </w:pPr>
      <w:r w:rsidRPr="005E5FD8">
        <w:rPr>
          <w:lang w:val="en-US"/>
        </w:rPr>
        <w:t>W</w:t>
      </w:r>
      <w:r>
        <w:rPr>
          <w:lang w:val="en-US"/>
        </w:rPr>
        <w:t xml:space="preserve">e are seeking a highly motived </w:t>
      </w:r>
      <w:r w:rsidRPr="005E5FD8">
        <w:rPr>
          <w:lang w:val="en-US"/>
        </w:rPr>
        <w:t>doctoral candidate to join us and work on highly exciting topics</w:t>
      </w:r>
      <w:r>
        <w:rPr>
          <w:lang w:val="en-US"/>
        </w:rPr>
        <w:t xml:space="preserve">. </w:t>
      </w:r>
      <w:r w:rsidRPr="005E5FD8">
        <w:rPr>
          <w:lang w:val="en-US"/>
        </w:rPr>
        <w:t xml:space="preserve">Applicants should have a solid record of scientific achievement and be highly commited to producing high-quality science. Preference will be given to candidates </w:t>
      </w:r>
      <w:r>
        <w:rPr>
          <w:lang w:val="en-US"/>
        </w:rPr>
        <w:t>with e</w:t>
      </w:r>
      <w:r w:rsidRPr="005E5FD8">
        <w:rPr>
          <w:lang w:val="en-US"/>
        </w:rPr>
        <w:t xml:space="preserve"> in </w:t>
      </w:r>
      <w:r>
        <w:rPr>
          <w:lang w:val="en-US"/>
        </w:rPr>
        <w:t>immunology or virology</w:t>
      </w:r>
      <w:r w:rsidRPr="005E5FD8">
        <w:rPr>
          <w:lang w:val="en-US"/>
        </w:rPr>
        <w:t>.</w:t>
      </w:r>
    </w:p>
    <w:p w14:paraId="2F901ACA" w14:textId="77777777" w:rsidR="00DE6622" w:rsidRDefault="00DE6622">
      <w:pPr>
        <w:rPr>
          <w:u w:val="single"/>
          <w:lang w:val="en-US"/>
        </w:rPr>
      </w:pPr>
    </w:p>
    <w:p w14:paraId="490258CD" w14:textId="77777777" w:rsidR="00D21196" w:rsidRDefault="00D21196">
      <w:pPr>
        <w:rPr>
          <w:u w:val="single"/>
          <w:lang w:val="en-US"/>
        </w:rPr>
      </w:pPr>
      <w:bookmarkStart w:id="0" w:name="_GoBack"/>
      <w:bookmarkEnd w:id="0"/>
    </w:p>
    <w:p w14:paraId="017ADBC7" w14:textId="77777777" w:rsidR="00DE6622" w:rsidRDefault="00DE6622">
      <w:pPr>
        <w:rPr>
          <w:u w:val="single"/>
          <w:lang w:val="en-US"/>
        </w:rPr>
      </w:pPr>
      <w:r>
        <w:rPr>
          <w:u w:val="single"/>
          <w:lang w:val="en-US"/>
        </w:rPr>
        <w:t>Contact:</w:t>
      </w:r>
    </w:p>
    <w:p w14:paraId="0ACA4589" w14:textId="77777777" w:rsidR="007B21AF" w:rsidRPr="008D0F0D" w:rsidRDefault="007B21AF">
      <w:pPr>
        <w:rPr>
          <w:u w:val="single"/>
          <w:lang w:val="en-US"/>
        </w:rPr>
      </w:pPr>
    </w:p>
    <w:p w14:paraId="087A5E08" w14:textId="266CCB98" w:rsidR="00176274" w:rsidRDefault="005E5FD8">
      <w:pPr>
        <w:rPr>
          <w:lang w:val="en-US"/>
        </w:rPr>
      </w:pPr>
      <w:r>
        <w:rPr>
          <w:lang w:val="en-US"/>
        </w:rPr>
        <w:t xml:space="preserve">Florence Buseyne, </w:t>
      </w:r>
      <w:hyperlink r:id="rId5" w:history="1">
        <w:r w:rsidRPr="00873E9C">
          <w:rPr>
            <w:rStyle w:val="Lienhypertexte"/>
            <w:lang w:val="en-US"/>
          </w:rPr>
          <w:t>florence.buseyne@pasteur.fr</w:t>
        </w:r>
      </w:hyperlink>
      <w:r>
        <w:rPr>
          <w:lang w:val="en-US"/>
        </w:rPr>
        <w:t>, Phone + 33 1 45 68 88 99.</w:t>
      </w:r>
    </w:p>
    <w:sectPr w:rsidR="00176274" w:rsidSect="000A7158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B5C4A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B2"/>
    <w:rsid w:val="00032983"/>
    <w:rsid w:val="00062A63"/>
    <w:rsid w:val="000A7158"/>
    <w:rsid w:val="000B0AE9"/>
    <w:rsid w:val="00147A7F"/>
    <w:rsid w:val="00176274"/>
    <w:rsid w:val="00194F49"/>
    <w:rsid w:val="001A133F"/>
    <w:rsid w:val="00207D43"/>
    <w:rsid w:val="00220BE1"/>
    <w:rsid w:val="00234A72"/>
    <w:rsid w:val="002834D5"/>
    <w:rsid w:val="002A492D"/>
    <w:rsid w:val="002E641F"/>
    <w:rsid w:val="0032035F"/>
    <w:rsid w:val="00346BCF"/>
    <w:rsid w:val="00371880"/>
    <w:rsid w:val="00420552"/>
    <w:rsid w:val="004860CA"/>
    <w:rsid w:val="004B36F6"/>
    <w:rsid w:val="004B58A5"/>
    <w:rsid w:val="00513D28"/>
    <w:rsid w:val="00593162"/>
    <w:rsid w:val="0059605C"/>
    <w:rsid w:val="005B3A3D"/>
    <w:rsid w:val="005D3184"/>
    <w:rsid w:val="005E5FD8"/>
    <w:rsid w:val="00685BE4"/>
    <w:rsid w:val="006F773B"/>
    <w:rsid w:val="0072417F"/>
    <w:rsid w:val="00755F33"/>
    <w:rsid w:val="007B21AF"/>
    <w:rsid w:val="007F3B5F"/>
    <w:rsid w:val="008D1B32"/>
    <w:rsid w:val="008D2805"/>
    <w:rsid w:val="009453FE"/>
    <w:rsid w:val="00A376B2"/>
    <w:rsid w:val="00AC305B"/>
    <w:rsid w:val="00AC797B"/>
    <w:rsid w:val="00BB750B"/>
    <w:rsid w:val="00BE1C3A"/>
    <w:rsid w:val="00C17B5D"/>
    <w:rsid w:val="00C71DE7"/>
    <w:rsid w:val="00CE4BFC"/>
    <w:rsid w:val="00CF5E4F"/>
    <w:rsid w:val="00D14BA6"/>
    <w:rsid w:val="00D21196"/>
    <w:rsid w:val="00D959D9"/>
    <w:rsid w:val="00DB5096"/>
    <w:rsid w:val="00DE6622"/>
    <w:rsid w:val="00DF041C"/>
    <w:rsid w:val="00E16322"/>
    <w:rsid w:val="00E5255C"/>
    <w:rsid w:val="00E57EC2"/>
    <w:rsid w:val="00F91327"/>
    <w:rsid w:val="00F93C01"/>
    <w:rsid w:val="00FD5F46"/>
    <w:rsid w:val="00FE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D4111E"/>
  <w14:defaultImageDpi w14:val="300"/>
  <w15:docId w15:val="{EEB551E1-A002-4A00-9EFD-92757BBE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5255C"/>
    <w:pPr>
      <w:jc w:val="both"/>
    </w:pPr>
    <w:rPr>
      <w:rFonts w:ascii="Arial" w:hAnsi="Arial"/>
      <w:sz w:val="22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443A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443AE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CE4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uiPriority w:val="99"/>
    <w:unhideWhenUsed/>
    <w:rsid w:val="00D959D9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E525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1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florence.buseyne@pasteur.f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1097</Words>
  <Characters>6035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Application form (Part V)</vt:lpstr>
    </vt:vector>
  </TitlesOfParts>
  <Company>Institut Pasteur</Company>
  <LinksUpToDate>false</LinksUpToDate>
  <CharactersWithSpaces>7118</CharactersWithSpaces>
  <SharedDoc>false</SharedDoc>
  <HLinks>
    <vt:vector size="6" baseType="variant">
      <vt:variant>
        <vt:i4>7471118</vt:i4>
      </vt:variant>
      <vt:variant>
        <vt:i4>0</vt:i4>
      </vt:variant>
      <vt:variant>
        <vt:i4>0</vt:i4>
      </vt:variant>
      <vt:variant>
        <vt:i4>5</vt:i4>
      </vt:variant>
      <vt:variant>
        <vt:lpwstr>http://www.pasteur.fr/doctoralpositions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(Part V)</dc:title>
  <dc:subject/>
  <dc:creator>Institut Pasteur</dc:creator>
  <cp:keywords/>
  <cp:lastModifiedBy>Utilisateur de Microsoft Office</cp:lastModifiedBy>
  <cp:revision>10</cp:revision>
  <cp:lastPrinted>2017-09-01T12:33:00Z</cp:lastPrinted>
  <dcterms:created xsi:type="dcterms:W3CDTF">2017-08-29T16:01:00Z</dcterms:created>
  <dcterms:modified xsi:type="dcterms:W3CDTF">2017-09-08T13:02:00Z</dcterms:modified>
</cp:coreProperties>
</file>