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8DDF16" w14:textId="218D5C80" w:rsidR="000A7158" w:rsidRPr="00685BE4" w:rsidRDefault="00685BE4">
      <w:pPr>
        <w:ind w:right="1"/>
        <w:jc w:val="center"/>
        <w:rPr>
          <w:rFonts w:ascii="Arial" w:hAnsi="Arial"/>
          <w:b/>
          <w:color w:val="C00000"/>
          <w:lang w:val="en-GB"/>
        </w:rPr>
      </w:pPr>
      <w:r>
        <w:rPr>
          <w:rFonts w:ascii="Arial" w:hAnsi="Arial"/>
          <w:b/>
          <w:color w:val="C00000"/>
          <w:lang w:val="en-GB"/>
        </w:rPr>
        <w:t>PhD PROPOSAL</w:t>
      </w:r>
      <w:r w:rsidR="000A7158" w:rsidRPr="00685BE4">
        <w:rPr>
          <w:rFonts w:ascii="Arial" w:hAnsi="Arial"/>
          <w:b/>
          <w:color w:val="C00000"/>
          <w:lang w:val="en-GB"/>
        </w:rPr>
        <w:t xml:space="preserve"> FOR THE </w:t>
      </w:r>
    </w:p>
    <w:p w14:paraId="35B4289B" w14:textId="77777777" w:rsidR="000A7158" w:rsidRPr="00685BE4" w:rsidRDefault="000A7158">
      <w:pPr>
        <w:ind w:right="1"/>
        <w:jc w:val="center"/>
        <w:rPr>
          <w:rFonts w:ascii="Arial" w:hAnsi="Arial"/>
          <w:b/>
          <w:color w:val="C00000"/>
          <w:lang w:val="en-GB"/>
        </w:rPr>
      </w:pPr>
      <w:r w:rsidRPr="00685BE4">
        <w:rPr>
          <w:rFonts w:ascii="Arial" w:hAnsi="Arial"/>
          <w:b/>
          <w:color w:val="C00000"/>
          <w:lang w:val="en-GB"/>
        </w:rPr>
        <w:t>PASTEUR</w:t>
      </w:r>
      <w:r w:rsidR="0072417F" w:rsidRPr="00685BE4">
        <w:rPr>
          <w:rFonts w:ascii="Arial" w:hAnsi="Arial"/>
          <w:b/>
          <w:color w:val="C00000"/>
          <w:lang w:val="en-GB"/>
        </w:rPr>
        <w:t xml:space="preserve"> </w:t>
      </w:r>
      <w:r w:rsidRPr="00685BE4">
        <w:rPr>
          <w:rFonts w:ascii="Arial" w:hAnsi="Arial"/>
          <w:b/>
          <w:color w:val="C00000"/>
          <w:lang w:val="en-GB"/>
        </w:rPr>
        <w:t>-</w:t>
      </w:r>
      <w:r w:rsidR="0072417F" w:rsidRPr="00685BE4">
        <w:rPr>
          <w:rFonts w:ascii="Arial" w:hAnsi="Arial"/>
          <w:b/>
          <w:color w:val="C00000"/>
          <w:lang w:val="en-GB"/>
        </w:rPr>
        <w:t xml:space="preserve"> </w:t>
      </w:r>
      <w:r w:rsidRPr="00685BE4">
        <w:rPr>
          <w:rFonts w:ascii="Arial" w:hAnsi="Arial"/>
          <w:b/>
          <w:color w:val="C00000"/>
          <w:lang w:val="en-GB"/>
        </w:rPr>
        <w:t>PARIS UNIVERSITY INTERNATIONAL</w:t>
      </w:r>
      <w:r w:rsidR="00D959D9" w:rsidRPr="00685BE4">
        <w:rPr>
          <w:rFonts w:ascii="Arial" w:hAnsi="Arial"/>
          <w:b/>
          <w:color w:val="C00000"/>
          <w:lang w:val="en-GB"/>
        </w:rPr>
        <w:t xml:space="preserve"> DOCTORAL</w:t>
      </w:r>
      <w:r w:rsidRPr="00685BE4">
        <w:rPr>
          <w:rFonts w:ascii="Arial" w:hAnsi="Arial"/>
          <w:b/>
          <w:color w:val="C00000"/>
          <w:lang w:val="en-GB"/>
        </w:rPr>
        <w:t xml:space="preserve"> PROGRAM</w:t>
      </w:r>
    </w:p>
    <w:p w14:paraId="0B816CE6" w14:textId="77777777" w:rsidR="00685BE4" w:rsidRDefault="00685BE4">
      <w:pPr>
        <w:ind w:right="1"/>
        <w:jc w:val="center"/>
        <w:rPr>
          <w:rFonts w:ascii="Arial" w:hAnsi="Arial"/>
          <w:b/>
          <w:lang w:val="en-GB"/>
        </w:rPr>
      </w:pPr>
    </w:p>
    <w:p w14:paraId="7F3B62AE" w14:textId="77777777" w:rsidR="00685BE4" w:rsidRPr="00630436" w:rsidRDefault="00685BE4">
      <w:pPr>
        <w:ind w:right="1"/>
        <w:jc w:val="center"/>
        <w:rPr>
          <w:rFonts w:ascii="Arial" w:hAnsi="Arial"/>
          <w:b/>
          <w:lang w:val="en-GB"/>
        </w:rPr>
      </w:pPr>
    </w:p>
    <w:p w14:paraId="5B86A570" w14:textId="773F8695" w:rsidR="00CE4BFC" w:rsidRDefault="00CE4BFC">
      <w:pPr>
        <w:ind w:right="1"/>
        <w:jc w:val="center"/>
        <w:rPr>
          <w:rFonts w:ascii="Arial" w:hAnsi="Arial"/>
          <w:lang w:val="en-GB"/>
        </w:rPr>
      </w:pPr>
      <w:r>
        <w:rPr>
          <w:rFonts w:ascii="Arial" w:hAnsi="Arial"/>
          <w:lang w:val="en-GB"/>
        </w:rPr>
        <w:t>Time for applicants to contac</w:t>
      </w:r>
      <w:r w:rsidR="000B0AE9">
        <w:rPr>
          <w:rFonts w:ascii="Arial" w:hAnsi="Arial"/>
          <w:lang w:val="en-GB"/>
        </w:rPr>
        <w:t xml:space="preserve">t host laboratories: September </w:t>
      </w:r>
      <w:r w:rsidR="00AC797B">
        <w:rPr>
          <w:rFonts w:ascii="Arial" w:hAnsi="Arial"/>
          <w:lang w:val="en-GB"/>
        </w:rPr>
        <w:t>13</w:t>
      </w:r>
      <w:r>
        <w:rPr>
          <w:rFonts w:ascii="Arial" w:hAnsi="Arial"/>
          <w:lang w:val="en-GB"/>
        </w:rPr>
        <w:t xml:space="preserve"> – November </w:t>
      </w:r>
      <w:r w:rsidR="004B58A5">
        <w:rPr>
          <w:rFonts w:ascii="Arial" w:hAnsi="Arial"/>
          <w:lang w:val="en-GB"/>
        </w:rPr>
        <w:t>2, 201</w:t>
      </w:r>
      <w:r w:rsidR="00AC797B">
        <w:rPr>
          <w:rFonts w:ascii="Arial" w:hAnsi="Arial"/>
          <w:lang w:val="en-GB"/>
        </w:rPr>
        <w:t>7</w:t>
      </w:r>
    </w:p>
    <w:p w14:paraId="57859F70" w14:textId="32F366AD" w:rsidR="000A7158" w:rsidRPr="00630436" w:rsidRDefault="000A7158">
      <w:pPr>
        <w:ind w:right="1"/>
        <w:jc w:val="center"/>
        <w:rPr>
          <w:rFonts w:ascii="Arial" w:hAnsi="Arial"/>
          <w:lang w:val="en-GB"/>
        </w:rPr>
      </w:pPr>
      <w:r w:rsidRPr="00630436">
        <w:rPr>
          <w:rFonts w:ascii="Arial" w:hAnsi="Arial"/>
          <w:lang w:val="en-GB"/>
        </w:rPr>
        <w:t xml:space="preserve">Deadline for full application: </w:t>
      </w:r>
      <w:r w:rsidR="00CE4BFC">
        <w:rPr>
          <w:rFonts w:ascii="Arial" w:hAnsi="Arial"/>
          <w:lang w:val="en-GB"/>
        </w:rPr>
        <w:t>November</w:t>
      </w:r>
      <w:r w:rsidRPr="00630436">
        <w:rPr>
          <w:rFonts w:ascii="Arial" w:hAnsi="Arial"/>
          <w:lang w:val="en-GB"/>
        </w:rPr>
        <w:t xml:space="preserve"> </w:t>
      </w:r>
      <w:r w:rsidR="004B58A5">
        <w:rPr>
          <w:rFonts w:ascii="Arial" w:hAnsi="Arial"/>
          <w:lang w:val="en-GB"/>
        </w:rPr>
        <w:t>1</w:t>
      </w:r>
      <w:r w:rsidR="00AC797B">
        <w:rPr>
          <w:rFonts w:ascii="Arial" w:hAnsi="Arial"/>
          <w:lang w:val="en-GB"/>
        </w:rPr>
        <w:t>3</w:t>
      </w:r>
      <w:r w:rsidRPr="00630436">
        <w:rPr>
          <w:rFonts w:ascii="Arial" w:hAnsi="Arial"/>
          <w:lang w:val="en-GB"/>
        </w:rPr>
        <w:t>, 201</w:t>
      </w:r>
      <w:r w:rsidR="00AC797B">
        <w:rPr>
          <w:rFonts w:ascii="Arial" w:hAnsi="Arial"/>
          <w:lang w:val="en-GB"/>
        </w:rPr>
        <w:t>7</w:t>
      </w:r>
    </w:p>
    <w:p w14:paraId="3C427F27" w14:textId="6D297A6E" w:rsidR="000A7158" w:rsidRPr="00630436" w:rsidRDefault="000A7158">
      <w:pPr>
        <w:ind w:right="1"/>
        <w:jc w:val="center"/>
        <w:rPr>
          <w:rFonts w:ascii="Arial" w:hAnsi="Arial"/>
          <w:lang w:val="en-GB"/>
        </w:rPr>
      </w:pPr>
      <w:r>
        <w:rPr>
          <w:rFonts w:ascii="Arial" w:hAnsi="Arial"/>
          <w:lang w:val="en-GB"/>
        </w:rPr>
        <w:t xml:space="preserve">Interviews: </w:t>
      </w:r>
      <w:r w:rsidR="00AC797B">
        <w:rPr>
          <w:rFonts w:ascii="Arial" w:hAnsi="Arial"/>
          <w:lang w:val="en-GB"/>
        </w:rPr>
        <w:t xml:space="preserve">January 30, </w:t>
      </w:r>
      <w:r w:rsidR="00CE4BFC">
        <w:rPr>
          <w:rFonts w:ascii="Arial" w:hAnsi="Arial"/>
          <w:lang w:val="en-GB"/>
        </w:rPr>
        <w:t>February</w:t>
      </w:r>
      <w:r w:rsidR="00D959D9">
        <w:rPr>
          <w:rFonts w:ascii="Arial" w:hAnsi="Arial"/>
          <w:lang w:val="en-GB"/>
        </w:rPr>
        <w:t xml:space="preserve"> </w:t>
      </w:r>
      <w:r w:rsidR="00AC797B">
        <w:rPr>
          <w:rFonts w:ascii="Arial" w:hAnsi="Arial"/>
          <w:lang w:val="en-GB"/>
        </w:rPr>
        <w:t>2</w:t>
      </w:r>
      <w:r>
        <w:rPr>
          <w:rFonts w:ascii="Arial" w:hAnsi="Arial"/>
          <w:lang w:val="en-GB"/>
        </w:rPr>
        <w:t>, 201</w:t>
      </w:r>
      <w:r w:rsidR="00AC797B">
        <w:rPr>
          <w:rFonts w:ascii="Arial" w:hAnsi="Arial"/>
          <w:lang w:val="en-GB"/>
        </w:rPr>
        <w:t>8</w:t>
      </w:r>
    </w:p>
    <w:p w14:paraId="5E14D17C" w14:textId="79F32885" w:rsidR="000A7158" w:rsidRDefault="000A7158">
      <w:pPr>
        <w:ind w:right="1"/>
        <w:jc w:val="center"/>
        <w:rPr>
          <w:rFonts w:ascii="Arial" w:hAnsi="Arial"/>
          <w:lang w:val="en-GB"/>
        </w:rPr>
      </w:pPr>
      <w:r w:rsidRPr="00630436">
        <w:rPr>
          <w:rFonts w:ascii="Arial" w:hAnsi="Arial"/>
          <w:lang w:val="en-GB"/>
        </w:rPr>
        <w:t>Start</w:t>
      </w:r>
      <w:r w:rsidR="004B58A5">
        <w:rPr>
          <w:rFonts w:ascii="Arial" w:hAnsi="Arial"/>
          <w:lang w:val="en-GB"/>
        </w:rPr>
        <w:t xml:space="preserve"> of the Ph.D.: October </w:t>
      </w:r>
      <w:r w:rsidR="00755F33">
        <w:rPr>
          <w:rFonts w:ascii="Arial" w:hAnsi="Arial"/>
          <w:lang w:val="en-GB"/>
        </w:rPr>
        <w:t>1</w:t>
      </w:r>
      <w:r>
        <w:rPr>
          <w:rFonts w:ascii="Arial" w:hAnsi="Arial"/>
          <w:lang w:val="en-GB"/>
        </w:rPr>
        <w:t>, 201</w:t>
      </w:r>
      <w:r w:rsidR="00AC797B">
        <w:rPr>
          <w:rFonts w:ascii="Arial" w:hAnsi="Arial"/>
          <w:lang w:val="en-GB"/>
        </w:rPr>
        <w:t>8</w:t>
      </w:r>
    </w:p>
    <w:p w14:paraId="36AF1ACA" w14:textId="77777777" w:rsidR="00A03DE0" w:rsidRDefault="00A03DE0" w:rsidP="000B0AE9">
      <w:pPr>
        <w:rPr>
          <w:rFonts w:ascii="Arial" w:hAnsi="Arial"/>
          <w:b/>
          <w:sz w:val="22"/>
          <w:lang w:val="en-GB"/>
        </w:rPr>
      </w:pPr>
    </w:p>
    <w:p w14:paraId="76A37652" w14:textId="77777777" w:rsidR="00A03DE0" w:rsidRDefault="00A03DE0" w:rsidP="000B0AE9">
      <w:pPr>
        <w:rPr>
          <w:rFonts w:ascii="Arial" w:hAnsi="Arial"/>
          <w:b/>
          <w:sz w:val="22"/>
          <w:lang w:val="en-GB"/>
        </w:rPr>
      </w:pPr>
    </w:p>
    <w:p w14:paraId="343609BD" w14:textId="0BF7A62F" w:rsidR="000B0AE9" w:rsidRPr="001B4442" w:rsidRDefault="000A7158" w:rsidP="000B0AE9">
      <w:pPr>
        <w:rPr>
          <w:rFonts w:ascii="Arial" w:hAnsi="Arial" w:cs="Arial"/>
          <w:sz w:val="22"/>
          <w:szCs w:val="22"/>
          <w:lang w:val="en-US"/>
        </w:rPr>
      </w:pPr>
      <w:r w:rsidRPr="001B4442">
        <w:rPr>
          <w:rFonts w:ascii="Arial" w:hAnsi="Arial" w:cs="Arial"/>
          <w:b/>
          <w:sz w:val="22"/>
          <w:szCs w:val="22"/>
          <w:lang w:val="en-US"/>
        </w:rPr>
        <w:t>Title of the PhD project:</w:t>
      </w:r>
      <w:r w:rsidR="000B0AE9" w:rsidRPr="001B4442">
        <w:rPr>
          <w:rFonts w:ascii="Arial" w:hAnsi="Arial" w:cs="Arial"/>
          <w:b/>
          <w:sz w:val="22"/>
          <w:szCs w:val="22"/>
          <w:lang w:val="en-US"/>
        </w:rPr>
        <w:t xml:space="preserve"> </w:t>
      </w:r>
      <w:r w:rsidR="003E3A0F" w:rsidRPr="001B4442">
        <w:rPr>
          <w:rFonts w:ascii="Arial" w:hAnsi="Arial" w:cs="Arial"/>
          <w:sz w:val="22"/>
          <w:szCs w:val="22"/>
          <w:lang w:val="en-US"/>
        </w:rPr>
        <w:t>“</w:t>
      </w:r>
      <w:r w:rsidR="00295B64" w:rsidRPr="001B4442">
        <w:rPr>
          <w:rFonts w:ascii="Arial" w:hAnsi="Arial" w:cs="Arial"/>
          <w:sz w:val="22"/>
          <w:szCs w:val="22"/>
          <w:lang w:val="en-US"/>
        </w:rPr>
        <w:t>USF</w:t>
      </w:r>
      <w:r w:rsidR="003E3A0F" w:rsidRPr="001B4442">
        <w:rPr>
          <w:rFonts w:ascii="Arial" w:hAnsi="Arial" w:cs="Arial"/>
          <w:sz w:val="22"/>
          <w:szCs w:val="22"/>
          <w:lang w:val="en-US"/>
        </w:rPr>
        <w:t>1</w:t>
      </w:r>
      <w:r w:rsidR="00295B64" w:rsidRPr="001B4442">
        <w:rPr>
          <w:rFonts w:ascii="Arial" w:hAnsi="Arial" w:cs="Arial"/>
          <w:sz w:val="22"/>
          <w:szCs w:val="22"/>
          <w:lang w:val="en-US"/>
        </w:rPr>
        <w:t xml:space="preserve"> transcription factors and the oncogenic response to </w:t>
      </w:r>
      <w:r w:rsidR="00295B64" w:rsidRPr="001B4442">
        <w:rPr>
          <w:rFonts w:ascii="Arial" w:hAnsi="Arial" w:cs="Arial"/>
          <w:i/>
          <w:sz w:val="22"/>
          <w:szCs w:val="22"/>
          <w:lang w:val="en-US"/>
        </w:rPr>
        <w:t>H. pylori</w:t>
      </w:r>
      <w:r w:rsidR="00295B64" w:rsidRPr="001B4442">
        <w:rPr>
          <w:rFonts w:ascii="Arial" w:hAnsi="Arial" w:cs="Arial"/>
          <w:sz w:val="22"/>
          <w:szCs w:val="22"/>
          <w:lang w:val="en-US"/>
        </w:rPr>
        <w:t xml:space="preserve"> infection”. </w:t>
      </w:r>
    </w:p>
    <w:p w14:paraId="1D0471EA" w14:textId="77777777" w:rsidR="00295B64" w:rsidRPr="001B4442" w:rsidRDefault="000B0AE9" w:rsidP="00295B64">
      <w:pPr>
        <w:rPr>
          <w:rFonts w:ascii="Arial" w:hAnsi="Arial" w:cs="Arial"/>
          <w:b/>
          <w:sz w:val="22"/>
          <w:szCs w:val="22"/>
          <w:lang w:val="en-US"/>
        </w:rPr>
      </w:pPr>
      <w:r w:rsidRPr="001B4442">
        <w:rPr>
          <w:rFonts w:ascii="Arial" w:hAnsi="Arial" w:cs="Arial"/>
          <w:b/>
          <w:sz w:val="22"/>
          <w:szCs w:val="22"/>
          <w:lang w:val="en-US"/>
        </w:rPr>
        <w:t xml:space="preserve">Keywords: </w:t>
      </w:r>
      <w:r w:rsidR="00295B64" w:rsidRPr="001B4442">
        <w:rPr>
          <w:rFonts w:ascii="Arial" w:hAnsi="Arial" w:cs="Arial"/>
          <w:i/>
          <w:sz w:val="22"/>
          <w:szCs w:val="22"/>
          <w:lang w:val="en-US"/>
        </w:rPr>
        <w:t>H. pylori</w:t>
      </w:r>
      <w:r w:rsidR="00295B64" w:rsidRPr="001B4442">
        <w:rPr>
          <w:rFonts w:ascii="Arial" w:hAnsi="Arial" w:cs="Arial"/>
          <w:sz w:val="22"/>
          <w:szCs w:val="22"/>
          <w:lang w:val="en-US"/>
        </w:rPr>
        <w:t>, host-pathogen interaction, gene regulation, DNA repair, oncogenesis, gastric cancer</w:t>
      </w:r>
    </w:p>
    <w:p w14:paraId="172090EC" w14:textId="4E2CF562" w:rsidR="000A7158" w:rsidRPr="001B4442" w:rsidRDefault="000B0AE9" w:rsidP="000A7158">
      <w:pPr>
        <w:jc w:val="both"/>
        <w:rPr>
          <w:rFonts w:ascii="Arial" w:hAnsi="Arial" w:cs="Arial"/>
          <w:b/>
          <w:sz w:val="22"/>
          <w:szCs w:val="22"/>
          <w:lang w:val="en-US"/>
        </w:rPr>
      </w:pPr>
      <w:r w:rsidRPr="001B4442">
        <w:rPr>
          <w:rFonts w:ascii="Arial" w:hAnsi="Arial" w:cs="Arial"/>
          <w:b/>
          <w:sz w:val="22"/>
          <w:szCs w:val="22"/>
          <w:lang w:val="en-US"/>
        </w:rPr>
        <w:t xml:space="preserve">Department: </w:t>
      </w:r>
      <w:r w:rsidR="00295B64" w:rsidRPr="001B4442">
        <w:rPr>
          <w:rFonts w:ascii="Arial" w:hAnsi="Arial" w:cs="Arial"/>
          <w:sz w:val="22"/>
          <w:szCs w:val="22"/>
          <w:lang w:val="en-US"/>
        </w:rPr>
        <w:t>Microbiology</w:t>
      </w:r>
    </w:p>
    <w:p w14:paraId="7DFE2BE3" w14:textId="58B748F6" w:rsidR="00295B64" w:rsidRPr="001B4442" w:rsidRDefault="000A7158" w:rsidP="00295B64">
      <w:pPr>
        <w:rPr>
          <w:rFonts w:ascii="Arial" w:hAnsi="Arial" w:cs="Arial"/>
          <w:sz w:val="22"/>
          <w:szCs w:val="22"/>
          <w:lang w:val="en-US"/>
        </w:rPr>
      </w:pPr>
      <w:r w:rsidRPr="001B4442">
        <w:rPr>
          <w:rFonts w:ascii="Arial" w:hAnsi="Arial" w:cs="Arial"/>
          <w:b/>
          <w:sz w:val="22"/>
          <w:szCs w:val="22"/>
          <w:lang w:val="en-US"/>
        </w:rPr>
        <w:t>Name of the lab:</w:t>
      </w:r>
      <w:r w:rsidR="00295B64" w:rsidRPr="001B4442">
        <w:rPr>
          <w:rFonts w:ascii="Arial" w:hAnsi="Arial" w:cs="Arial"/>
          <w:b/>
          <w:sz w:val="22"/>
          <w:szCs w:val="22"/>
          <w:lang w:val="en-US"/>
        </w:rPr>
        <w:t xml:space="preserve"> </w:t>
      </w:r>
      <w:r w:rsidR="00295B64" w:rsidRPr="001B4442">
        <w:rPr>
          <w:rFonts w:ascii="Arial" w:hAnsi="Arial" w:cs="Arial"/>
          <w:sz w:val="22"/>
          <w:szCs w:val="22"/>
          <w:lang w:val="en-US"/>
        </w:rPr>
        <w:t>Unit of Helicobacter Pathogenesis</w:t>
      </w:r>
      <w:r w:rsidR="00A03DE0" w:rsidRPr="001B4442">
        <w:rPr>
          <w:rFonts w:ascii="Arial" w:hAnsi="Arial" w:cs="Arial"/>
          <w:sz w:val="22"/>
          <w:szCs w:val="22"/>
          <w:lang w:val="en-US"/>
        </w:rPr>
        <w:t>, g</w:t>
      </w:r>
      <w:r w:rsidR="00295B64" w:rsidRPr="001B4442">
        <w:rPr>
          <w:rFonts w:ascii="Arial" w:hAnsi="Arial" w:cs="Arial"/>
          <w:sz w:val="22"/>
          <w:szCs w:val="22"/>
          <w:lang w:val="en-US"/>
        </w:rPr>
        <w:t xml:space="preserve">roup “Infection, Genotoxicity and cancer” </w:t>
      </w:r>
    </w:p>
    <w:p w14:paraId="408AAAF2" w14:textId="1AE69416" w:rsidR="000A7158" w:rsidRPr="001B4442" w:rsidRDefault="000A7158">
      <w:pPr>
        <w:rPr>
          <w:rFonts w:ascii="Arial" w:hAnsi="Arial" w:cs="Arial"/>
          <w:b/>
          <w:sz w:val="22"/>
          <w:szCs w:val="22"/>
          <w:lang w:val="en-US"/>
        </w:rPr>
      </w:pPr>
      <w:r w:rsidRPr="001B4442">
        <w:rPr>
          <w:rFonts w:ascii="Arial" w:hAnsi="Arial" w:cs="Arial"/>
          <w:b/>
          <w:sz w:val="22"/>
          <w:szCs w:val="22"/>
          <w:lang w:val="en-US"/>
        </w:rPr>
        <w:t>Head of the lab:</w:t>
      </w:r>
      <w:r w:rsidR="00295B64" w:rsidRPr="001B4442">
        <w:rPr>
          <w:rFonts w:ascii="Arial" w:hAnsi="Arial" w:cs="Arial"/>
          <w:b/>
          <w:sz w:val="22"/>
          <w:szCs w:val="22"/>
          <w:lang w:val="en-US"/>
        </w:rPr>
        <w:t xml:space="preserve"> </w:t>
      </w:r>
      <w:r w:rsidR="00295B64" w:rsidRPr="001B4442">
        <w:rPr>
          <w:rFonts w:ascii="Arial" w:hAnsi="Arial" w:cs="Arial"/>
          <w:sz w:val="22"/>
          <w:szCs w:val="22"/>
          <w:lang w:val="en-US"/>
        </w:rPr>
        <w:t>Hilde De REUSE</w:t>
      </w:r>
    </w:p>
    <w:p w14:paraId="22CCDA36" w14:textId="44B516B9" w:rsidR="000A7158" w:rsidRPr="001B4442" w:rsidRDefault="000A7158">
      <w:pPr>
        <w:rPr>
          <w:rFonts w:ascii="Arial" w:hAnsi="Arial" w:cs="Arial"/>
          <w:b/>
          <w:sz w:val="22"/>
          <w:szCs w:val="22"/>
          <w:lang w:val="en-US"/>
        </w:rPr>
      </w:pPr>
      <w:r w:rsidRPr="001B4442">
        <w:rPr>
          <w:rFonts w:ascii="Arial" w:hAnsi="Arial" w:cs="Arial"/>
          <w:b/>
          <w:sz w:val="22"/>
          <w:szCs w:val="22"/>
          <w:lang w:val="en-US"/>
        </w:rPr>
        <w:t>PhD advisor:</w:t>
      </w:r>
      <w:r w:rsidR="00295B64" w:rsidRPr="001B4442">
        <w:rPr>
          <w:rFonts w:ascii="Arial" w:hAnsi="Arial" w:cs="Arial"/>
          <w:b/>
          <w:sz w:val="22"/>
          <w:szCs w:val="22"/>
          <w:lang w:val="en-US"/>
        </w:rPr>
        <w:t xml:space="preserve">  </w:t>
      </w:r>
      <w:proofErr w:type="spellStart"/>
      <w:r w:rsidR="00295B64" w:rsidRPr="001B4442">
        <w:rPr>
          <w:rFonts w:ascii="Arial" w:hAnsi="Arial" w:cs="Arial"/>
          <w:sz w:val="22"/>
          <w:szCs w:val="22"/>
          <w:lang w:val="en-US"/>
        </w:rPr>
        <w:t>Eliette</w:t>
      </w:r>
      <w:proofErr w:type="spellEnd"/>
      <w:r w:rsidR="00295B64" w:rsidRPr="001B4442">
        <w:rPr>
          <w:rFonts w:ascii="Arial" w:hAnsi="Arial" w:cs="Arial"/>
          <w:sz w:val="22"/>
          <w:szCs w:val="22"/>
          <w:lang w:val="en-US"/>
        </w:rPr>
        <w:t xml:space="preserve"> TOUATI</w:t>
      </w:r>
    </w:p>
    <w:p w14:paraId="27DC0A5B" w14:textId="01D78926" w:rsidR="000A7158" w:rsidRPr="001B4442" w:rsidRDefault="000A7158">
      <w:pPr>
        <w:rPr>
          <w:rFonts w:ascii="Arial" w:hAnsi="Arial" w:cs="Arial"/>
          <w:b/>
          <w:sz w:val="22"/>
          <w:szCs w:val="22"/>
          <w:lang w:val="en-US"/>
        </w:rPr>
      </w:pPr>
      <w:r w:rsidRPr="001B4442">
        <w:rPr>
          <w:rFonts w:ascii="Arial" w:hAnsi="Arial" w:cs="Arial"/>
          <w:b/>
          <w:sz w:val="22"/>
          <w:szCs w:val="22"/>
          <w:lang w:val="en-US"/>
        </w:rPr>
        <w:t>Email address:</w:t>
      </w:r>
      <w:r w:rsidR="00295B64" w:rsidRPr="001B4442">
        <w:rPr>
          <w:rFonts w:ascii="Arial" w:hAnsi="Arial" w:cs="Arial"/>
          <w:b/>
          <w:sz w:val="22"/>
          <w:szCs w:val="22"/>
          <w:lang w:val="en-US"/>
        </w:rPr>
        <w:t xml:space="preserve"> </w:t>
      </w:r>
      <w:r w:rsidR="00295B64" w:rsidRPr="001B4442">
        <w:rPr>
          <w:rFonts w:ascii="Arial" w:hAnsi="Arial" w:cs="Arial"/>
          <w:sz w:val="22"/>
          <w:szCs w:val="22"/>
          <w:lang w:val="en-US"/>
        </w:rPr>
        <w:t>eliette.touati@pasteur.fr</w:t>
      </w:r>
    </w:p>
    <w:p w14:paraId="0E3808F3" w14:textId="77777777" w:rsidR="00295B64" w:rsidRPr="001B4442" w:rsidRDefault="000A7158" w:rsidP="00295B64">
      <w:pPr>
        <w:rPr>
          <w:rFonts w:ascii="Arial" w:hAnsi="Arial" w:cs="Arial"/>
          <w:sz w:val="22"/>
          <w:szCs w:val="22"/>
          <w:lang w:val="en-US"/>
        </w:rPr>
      </w:pPr>
      <w:r w:rsidRPr="001B4442">
        <w:rPr>
          <w:rFonts w:ascii="Arial" w:hAnsi="Arial" w:cs="Arial"/>
          <w:b/>
          <w:sz w:val="22"/>
          <w:szCs w:val="22"/>
          <w:lang w:val="en-US"/>
        </w:rPr>
        <w:t>Web site address of the lab</w:t>
      </w:r>
      <w:r w:rsidRPr="001B4442">
        <w:rPr>
          <w:rFonts w:ascii="Arial" w:hAnsi="Arial" w:cs="Arial"/>
          <w:sz w:val="22"/>
          <w:szCs w:val="22"/>
          <w:lang w:val="en-US"/>
        </w:rPr>
        <w:t xml:space="preserve">: </w:t>
      </w:r>
      <w:hyperlink r:id="rId5" w:history="1">
        <w:r w:rsidR="00295B64" w:rsidRPr="001B4442">
          <w:rPr>
            <w:rStyle w:val="Lienhypertexte"/>
            <w:rFonts w:ascii="Arial" w:hAnsi="Arial" w:cs="Arial"/>
            <w:sz w:val="22"/>
            <w:szCs w:val="22"/>
            <w:lang w:val="en-US"/>
          </w:rPr>
          <w:t>http://www.pasteur.fr/en/research/microbiology/units-groups/helicobacter-pathogenesis</w:t>
        </w:r>
      </w:hyperlink>
    </w:p>
    <w:p w14:paraId="1B995B39" w14:textId="77777777" w:rsidR="00295B64" w:rsidRPr="001B4442" w:rsidRDefault="000A7158" w:rsidP="00295B64">
      <w:pPr>
        <w:rPr>
          <w:rFonts w:ascii="Arial" w:hAnsi="Arial" w:cs="Arial"/>
          <w:sz w:val="22"/>
          <w:szCs w:val="22"/>
          <w:lang w:val="en-US"/>
        </w:rPr>
      </w:pPr>
      <w:r w:rsidRPr="001B4442">
        <w:rPr>
          <w:rFonts w:ascii="Arial" w:hAnsi="Arial" w:cs="Arial"/>
          <w:b/>
          <w:i/>
          <w:sz w:val="22"/>
          <w:szCs w:val="22"/>
          <w:lang w:val="en-US"/>
        </w:rPr>
        <w:t>Doctoral school affiliation and University</w:t>
      </w:r>
      <w:r w:rsidRPr="001B4442">
        <w:rPr>
          <w:rFonts w:ascii="Arial" w:hAnsi="Arial" w:cs="Arial"/>
          <w:b/>
          <w:sz w:val="22"/>
          <w:szCs w:val="22"/>
          <w:lang w:val="en-US"/>
        </w:rPr>
        <w:t xml:space="preserve">: </w:t>
      </w:r>
      <w:r w:rsidR="00295B64" w:rsidRPr="001B4442">
        <w:rPr>
          <w:rFonts w:ascii="Arial" w:hAnsi="Arial" w:cs="Arial"/>
          <w:sz w:val="22"/>
          <w:szCs w:val="22"/>
          <w:lang w:val="en-US"/>
        </w:rPr>
        <w:t xml:space="preserve">Doctoral School </w:t>
      </w:r>
      <w:proofErr w:type="spellStart"/>
      <w:r w:rsidR="00295B64" w:rsidRPr="001B4442">
        <w:rPr>
          <w:rFonts w:ascii="Arial" w:hAnsi="Arial" w:cs="Arial"/>
          <w:sz w:val="22"/>
          <w:szCs w:val="22"/>
          <w:lang w:val="en-US"/>
        </w:rPr>
        <w:t>BioSPC</w:t>
      </w:r>
      <w:proofErr w:type="spellEnd"/>
      <w:r w:rsidR="00295B64" w:rsidRPr="001B4442">
        <w:rPr>
          <w:rFonts w:ascii="Arial" w:hAnsi="Arial" w:cs="Arial"/>
          <w:sz w:val="22"/>
          <w:szCs w:val="22"/>
          <w:lang w:val="en-US"/>
        </w:rPr>
        <w:t xml:space="preserve"> University Paris Diderot and University Paris Descartes</w:t>
      </w:r>
    </w:p>
    <w:p w14:paraId="654D5772" w14:textId="77777777" w:rsidR="00295B64" w:rsidRDefault="00295B64" w:rsidP="00295B64">
      <w:pPr>
        <w:rPr>
          <w:rFonts w:ascii="Arial" w:hAnsi="Arial"/>
          <w:sz w:val="22"/>
          <w:lang w:val="en-US"/>
        </w:rPr>
      </w:pPr>
    </w:p>
    <w:p w14:paraId="7EE726A9" w14:textId="77777777" w:rsidR="00DE6622" w:rsidRPr="008D0F0D" w:rsidRDefault="00DE6622">
      <w:pPr>
        <w:rPr>
          <w:rFonts w:ascii="Arial" w:hAnsi="Arial"/>
          <w:sz w:val="22"/>
          <w:lang w:val="en-US"/>
        </w:rPr>
      </w:pPr>
    </w:p>
    <w:p w14:paraId="04C31AEF" w14:textId="77777777" w:rsidR="00DE6622" w:rsidRDefault="00DE6622">
      <w:pPr>
        <w:rPr>
          <w:rFonts w:ascii="Arial" w:hAnsi="Arial"/>
          <w:sz w:val="22"/>
          <w:u w:val="single"/>
          <w:lang w:val="en-US"/>
        </w:rPr>
      </w:pPr>
      <w:r>
        <w:rPr>
          <w:rFonts w:ascii="Arial" w:hAnsi="Arial"/>
          <w:sz w:val="22"/>
          <w:u w:val="single"/>
          <w:lang w:val="en-US"/>
        </w:rPr>
        <w:t>Presentation of the laboratory and its research topics:</w:t>
      </w:r>
    </w:p>
    <w:p w14:paraId="4BECE7EA" w14:textId="77777777" w:rsidR="00DE6622" w:rsidRDefault="00DE6622">
      <w:pPr>
        <w:rPr>
          <w:rFonts w:ascii="Arial" w:hAnsi="Arial"/>
          <w:sz w:val="22"/>
          <w:u w:val="single"/>
          <w:lang w:val="en-US"/>
        </w:rPr>
      </w:pPr>
    </w:p>
    <w:p w14:paraId="593D4AB1" w14:textId="77777777" w:rsidR="00B816A1" w:rsidRPr="00882A83" w:rsidRDefault="00B816A1" w:rsidP="00B816A1">
      <w:pPr>
        <w:spacing w:line="276" w:lineRule="auto"/>
        <w:jc w:val="both"/>
        <w:rPr>
          <w:rFonts w:ascii="Arial" w:hAnsi="Arial" w:cs="Arial"/>
          <w:sz w:val="22"/>
          <w:szCs w:val="22"/>
          <w:lang w:val="en-US"/>
        </w:rPr>
      </w:pPr>
      <w:r w:rsidRPr="00882A83">
        <w:rPr>
          <w:rFonts w:ascii="Arial" w:hAnsi="Arial" w:cs="Arial"/>
          <w:sz w:val="22"/>
          <w:szCs w:val="22"/>
          <w:lang w:val="en-US"/>
        </w:rPr>
        <w:t xml:space="preserve">In our </w:t>
      </w:r>
      <w:proofErr w:type="gramStart"/>
      <w:r w:rsidRPr="00882A83">
        <w:rPr>
          <w:rFonts w:ascii="Arial" w:hAnsi="Arial" w:cs="Arial"/>
          <w:sz w:val="22"/>
          <w:szCs w:val="22"/>
          <w:lang w:val="en-US"/>
        </w:rPr>
        <w:t>unit</w:t>
      </w:r>
      <w:proofErr w:type="gramEnd"/>
      <w:r w:rsidRPr="00882A83">
        <w:rPr>
          <w:rFonts w:ascii="Arial" w:hAnsi="Arial" w:cs="Arial"/>
          <w:sz w:val="22"/>
          <w:szCs w:val="22"/>
          <w:lang w:val="en-US"/>
        </w:rPr>
        <w:t xml:space="preserve"> we study the pathogenesis of </w:t>
      </w:r>
      <w:r w:rsidRPr="00882A83">
        <w:rPr>
          <w:rFonts w:ascii="Arial" w:hAnsi="Arial" w:cs="Arial"/>
          <w:i/>
          <w:sz w:val="22"/>
          <w:szCs w:val="22"/>
          <w:lang w:val="en-US"/>
        </w:rPr>
        <w:t>Helicobacter pylori</w:t>
      </w:r>
      <w:r w:rsidRPr="00882A83">
        <w:rPr>
          <w:rFonts w:ascii="Arial" w:hAnsi="Arial" w:cs="Arial"/>
          <w:sz w:val="22"/>
          <w:szCs w:val="22"/>
          <w:lang w:val="en-US"/>
        </w:rPr>
        <w:t xml:space="preserve"> infection, a bacterial pathogen that colonizes specifically the human stomach of about half of the human population worldwide. Infection by </w:t>
      </w:r>
      <w:r w:rsidRPr="00882A83">
        <w:rPr>
          <w:rFonts w:ascii="Arial" w:hAnsi="Arial" w:cs="Arial"/>
          <w:i/>
          <w:sz w:val="22"/>
          <w:szCs w:val="22"/>
          <w:lang w:val="en-US"/>
        </w:rPr>
        <w:t>H. pylori</w:t>
      </w:r>
      <w:r w:rsidRPr="00882A83">
        <w:rPr>
          <w:rFonts w:ascii="Arial" w:hAnsi="Arial" w:cs="Arial"/>
          <w:sz w:val="22"/>
          <w:szCs w:val="22"/>
          <w:lang w:val="en-US"/>
        </w:rPr>
        <w:t xml:space="preserve"> is chronic and can evolve from gastritis to severe pathologies such as gastric cancer. We develop complementary approaches to </w:t>
      </w:r>
      <w:proofErr w:type="spellStart"/>
      <w:r w:rsidRPr="00882A83">
        <w:rPr>
          <w:rFonts w:ascii="Arial" w:hAnsi="Arial" w:cs="Arial"/>
          <w:sz w:val="22"/>
          <w:szCs w:val="22"/>
          <w:lang w:val="en-US"/>
        </w:rPr>
        <w:t>analyse</w:t>
      </w:r>
      <w:proofErr w:type="spellEnd"/>
      <w:r w:rsidRPr="00882A83">
        <w:rPr>
          <w:rFonts w:ascii="Arial" w:hAnsi="Arial" w:cs="Arial"/>
          <w:sz w:val="22"/>
          <w:szCs w:val="22"/>
          <w:lang w:val="en-US"/>
        </w:rPr>
        <w:t xml:space="preserve"> the bacterial physiology of </w:t>
      </w:r>
      <w:r w:rsidRPr="00882A83">
        <w:rPr>
          <w:rFonts w:ascii="Arial" w:hAnsi="Arial" w:cs="Arial"/>
          <w:i/>
          <w:sz w:val="22"/>
          <w:szCs w:val="22"/>
          <w:lang w:val="en-US"/>
        </w:rPr>
        <w:t xml:space="preserve">H. pylori </w:t>
      </w:r>
      <w:r w:rsidRPr="00882A83">
        <w:rPr>
          <w:rFonts w:ascii="Arial" w:hAnsi="Arial" w:cs="Arial"/>
          <w:sz w:val="22"/>
          <w:szCs w:val="22"/>
          <w:lang w:val="en-US"/>
        </w:rPr>
        <w:t xml:space="preserve">and the mechanisms caused by its interaction with the host that are responsible for its pathogenicity. </w:t>
      </w:r>
    </w:p>
    <w:p w14:paraId="1F675506" w14:textId="77777777" w:rsidR="00B816A1" w:rsidRPr="00882A83" w:rsidRDefault="00B816A1" w:rsidP="00B816A1">
      <w:pPr>
        <w:spacing w:line="276" w:lineRule="auto"/>
        <w:jc w:val="both"/>
        <w:rPr>
          <w:rFonts w:ascii="Arial" w:hAnsi="Arial" w:cs="Arial"/>
          <w:sz w:val="22"/>
          <w:szCs w:val="22"/>
          <w:lang w:val="en-US"/>
        </w:rPr>
      </w:pPr>
      <w:r w:rsidRPr="00882A83">
        <w:rPr>
          <w:rFonts w:ascii="Arial" w:hAnsi="Arial" w:cs="Arial"/>
          <w:sz w:val="22"/>
          <w:szCs w:val="22"/>
          <w:lang w:val="en-US"/>
        </w:rPr>
        <w:t xml:space="preserve">One part of the projects aims at understanding what makes </w:t>
      </w:r>
      <w:r w:rsidRPr="00882A83">
        <w:rPr>
          <w:rFonts w:ascii="Arial" w:hAnsi="Arial" w:cs="Arial"/>
          <w:i/>
          <w:sz w:val="22"/>
          <w:szCs w:val="22"/>
          <w:lang w:val="en-US"/>
        </w:rPr>
        <w:t>H. pylori</w:t>
      </w:r>
      <w:r w:rsidRPr="00882A83">
        <w:rPr>
          <w:rFonts w:ascii="Arial" w:hAnsi="Arial" w:cs="Arial"/>
          <w:sz w:val="22"/>
          <w:szCs w:val="22"/>
          <w:lang w:val="en-US"/>
        </w:rPr>
        <w:t xml:space="preserve"> such a successful and persistent pathogen in </w:t>
      </w:r>
      <w:proofErr w:type="gramStart"/>
      <w:r w:rsidRPr="00882A83">
        <w:rPr>
          <w:rFonts w:ascii="Arial" w:hAnsi="Arial" w:cs="Arial"/>
          <w:sz w:val="22"/>
          <w:szCs w:val="22"/>
          <w:lang w:val="en-US"/>
        </w:rPr>
        <w:t>an</w:t>
      </w:r>
      <w:proofErr w:type="gramEnd"/>
      <w:r w:rsidRPr="00882A83">
        <w:rPr>
          <w:rFonts w:ascii="Arial" w:hAnsi="Arial" w:cs="Arial"/>
          <w:sz w:val="22"/>
          <w:szCs w:val="22"/>
          <w:lang w:val="en-US"/>
        </w:rPr>
        <w:t xml:space="preserve"> hostile niche, the acid stomach. This includes a study of the transport, trafficking and sensing of Nickel which is an essential virulence determinant for </w:t>
      </w:r>
      <w:r w:rsidRPr="00882A83">
        <w:rPr>
          <w:rFonts w:ascii="Arial" w:hAnsi="Arial" w:cs="Arial"/>
          <w:i/>
          <w:sz w:val="22"/>
          <w:szCs w:val="22"/>
          <w:lang w:val="en-US"/>
        </w:rPr>
        <w:t xml:space="preserve">H. pylori. </w:t>
      </w:r>
      <w:r w:rsidRPr="00882A83">
        <w:rPr>
          <w:rFonts w:ascii="Arial" w:hAnsi="Arial" w:cs="Arial"/>
          <w:sz w:val="22"/>
          <w:szCs w:val="22"/>
          <w:lang w:val="en-US"/>
        </w:rPr>
        <w:t>The analysis of RNA-mediated regulation in</w:t>
      </w:r>
      <w:r w:rsidRPr="00882A83">
        <w:rPr>
          <w:rFonts w:ascii="Arial" w:hAnsi="Arial" w:cs="Arial"/>
          <w:i/>
          <w:sz w:val="22"/>
          <w:szCs w:val="22"/>
          <w:lang w:val="en-US"/>
        </w:rPr>
        <w:t xml:space="preserve"> H. pylori </w:t>
      </w:r>
      <w:r w:rsidRPr="00882A83">
        <w:rPr>
          <w:rFonts w:ascii="Arial" w:hAnsi="Arial" w:cs="Arial"/>
          <w:sz w:val="22"/>
          <w:szCs w:val="22"/>
          <w:lang w:val="en-US"/>
        </w:rPr>
        <w:t xml:space="preserve">is also investigated. </w:t>
      </w:r>
    </w:p>
    <w:p w14:paraId="5A359029" w14:textId="77777777" w:rsidR="00B816A1" w:rsidRPr="00882A83" w:rsidRDefault="00B816A1" w:rsidP="00B816A1">
      <w:pPr>
        <w:spacing w:line="276" w:lineRule="auto"/>
        <w:jc w:val="both"/>
        <w:rPr>
          <w:rFonts w:ascii="Arial" w:hAnsi="Arial" w:cs="Arial"/>
          <w:sz w:val="22"/>
          <w:szCs w:val="22"/>
          <w:lang w:val="en-US"/>
        </w:rPr>
      </w:pPr>
      <w:r w:rsidRPr="00882A83">
        <w:rPr>
          <w:rFonts w:ascii="Arial" w:hAnsi="Arial" w:cs="Arial"/>
          <w:sz w:val="22"/>
          <w:szCs w:val="22"/>
          <w:lang w:val="en-US"/>
        </w:rPr>
        <w:t xml:space="preserve">The second part of the topics is developed by E. </w:t>
      </w:r>
      <w:proofErr w:type="spellStart"/>
      <w:r w:rsidRPr="00882A83">
        <w:rPr>
          <w:rFonts w:ascii="Arial" w:hAnsi="Arial" w:cs="Arial"/>
          <w:sz w:val="22"/>
          <w:szCs w:val="22"/>
          <w:lang w:val="en-US"/>
        </w:rPr>
        <w:t>Touati</w:t>
      </w:r>
      <w:proofErr w:type="spellEnd"/>
      <w:r w:rsidRPr="00882A83">
        <w:rPr>
          <w:rFonts w:ascii="Arial" w:hAnsi="Arial" w:cs="Arial"/>
          <w:sz w:val="22"/>
          <w:szCs w:val="22"/>
          <w:lang w:val="en-US"/>
        </w:rPr>
        <w:t xml:space="preserve"> ‘s group on “Infection, Genotoxicity and Cancer”</w:t>
      </w:r>
      <w:r>
        <w:rPr>
          <w:rFonts w:ascii="Arial" w:hAnsi="Arial" w:cs="Arial"/>
          <w:sz w:val="22"/>
          <w:szCs w:val="22"/>
          <w:lang w:val="en-US"/>
        </w:rPr>
        <w:t xml:space="preserve"> and aims </w:t>
      </w:r>
      <w:r w:rsidRPr="003F6D92">
        <w:rPr>
          <w:rFonts w:ascii="Arial" w:hAnsi="Arial" w:cs="Arial"/>
          <w:sz w:val="22"/>
          <w:szCs w:val="22"/>
          <w:lang w:val="en"/>
        </w:rPr>
        <w:t xml:space="preserve">to characterize molecular events at the origin of the genotoxic activity of </w:t>
      </w:r>
      <w:r w:rsidRPr="003F6D92">
        <w:rPr>
          <w:rStyle w:val="Emphase"/>
          <w:rFonts w:ascii="Arial" w:hAnsi="Arial" w:cs="Arial"/>
          <w:sz w:val="22"/>
          <w:szCs w:val="22"/>
          <w:lang w:val="en"/>
        </w:rPr>
        <w:t>H. pylori</w:t>
      </w:r>
      <w:r w:rsidRPr="003F6D92">
        <w:rPr>
          <w:rFonts w:ascii="Arial" w:hAnsi="Arial" w:cs="Arial"/>
          <w:sz w:val="22"/>
          <w:szCs w:val="22"/>
          <w:lang w:val="en"/>
        </w:rPr>
        <w:t xml:space="preserve"> infection and its oncogenic consequences. We develop </w:t>
      </w:r>
      <w:r>
        <w:rPr>
          <w:rFonts w:ascii="Arial" w:hAnsi="Arial" w:cs="Arial"/>
          <w:sz w:val="22"/>
          <w:szCs w:val="22"/>
          <w:lang w:val="en"/>
        </w:rPr>
        <w:t>one main project</w:t>
      </w:r>
      <w:r w:rsidRPr="003F6D92">
        <w:rPr>
          <w:rFonts w:ascii="Arial" w:hAnsi="Arial" w:cs="Arial"/>
          <w:sz w:val="22"/>
          <w:szCs w:val="22"/>
          <w:lang w:val="en"/>
        </w:rPr>
        <w:t xml:space="preserve"> focused on the study of pleiotropic transcriptional regulators, Upstream Stimulating factors (USF) and their involvement in </w:t>
      </w:r>
      <w:r>
        <w:rPr>
          <w:rFonts w:ascii="Arial" w:hAnsi="Arial" w:cs="Arial"/>
          <w:sz w:val="22"/>
          <w:szCs w:val="22"/>
          <w:lang w:val="en"/>
        </w:rPr>
        <w:t>the DNA damaging activity and host genetic instabilities induced by</w:t>
      </w:r>
      <w:r w:rsidRPr="003F6D92">
        <w:rPr>
          <w:rFonts w:ascii="Arial" w:hAnsi="Arial" w:cs="Arial"/>
          <w:sz w:val="22"/>
          <w:szCs w:val="22"/>
          <w:lang w:val="en"/>
        </w:rPr>
        <w:t xml:space="preserve"> the infection. The USF factors have been previously demonstrated as </w:t>
      </w:r>
      <w:r>
        <w:rPr>
          <w:rFonts w:ascii="Arial" w:hAnsi="Arial" w:cs="Arial"/>
          <w:sz w:val="22"/>
          <w:szCs w:val="22"/>
          <w:lang w:val="en"/>
        </w:rPr>
        <w:t xml:space="preserve">pleiotropic </w:t>
      </w:r>
      <w:r w:rsidRPr="003F6D92">
        <w:rPr>
          <w:rFonts w:ascii="Arial" w:hAnsi="Arial" w:cs="Arial"/>
          <w:sz w:val="22"/>
          <w:szCs w:val="22"/>
          <w:lang w:val="en"/>
        </w:rPr>
        <w:t xml:space="preserve">stress sensors and would be associated with a tumor suppressive activity. </w:t>
      </w:r>
      <w:r>
        <w:rPr>
          <w:rFonts w:ascii="Arial" w:hAnsi="Arial" w:cs="Arial"/>
          <w:sz w:val="22"/>
          <w:szCs w:val="22"/>
          <w:lang w:val="en"/>
        </w:rPr>
        <w:t xml:space="preserve">A previous study from our group </w:t>
      </w:r>
      <w:r w:rsidRPr="003F6D92">
        <w:rPr>
          <w:rFonts w:ascii="Arial" w:hAnsi="Arial" w:cs="Arial"/>
          <w:sz w:val="22"/>
          <w:szCs w:val="22"/>
          <w:lang w:val="en"/>
        </w:rPr>
        <w:t>also investigate</w:t>
      </w:r>
      <w:r>
        <w:rPr>
          <w:rFonts w:ascii="Arial" w:hAnsi="Arial" w:cs="Arial"/>
          <w:sz w:val="22"/>
          <w:szCs w:val="22"/>
          <w:lang w:val="en"/>
        </w:rPr>
        <w:t>d</w:t>
      </w:r>
      <w:r w:rsidRPr="003F6D92">
        <w:rPr>
          <w:rFonts w:ascii="Arial" w:hAnsi="Arial" w:cs="Arial"/>
          <w:sz w:val="22"/>
          <w:szCs w:val="22"/>
          <w:lang w:val="en"/>
        </w:rPr>
        <w:t xml:space="preserve"> the consequences of </w:t>
      </w:r>
      <w:r w:rsidRPr="003F6D92">
        <w:rPr>
          <w:rStyle w:val="Emphase"/>
          <w:rFonts w:ascii="Arial" w:hAnsi="Arial" w:cs="Arial"/>
          <w:sz w:val="22"/>
          <w:szCs w:val="22"/>
          <w:lang w:val="en"/>
        </w:rPr>
        <w:t>H. pylori</w:t>
      </w:r>
      <w:r w:rsidRPr="003F6D92">
        <w:rPr>
          <w:rFonts w:ascii="Arial" w:hAnsi="Arial" w:cs="Arial"/>
          <w:sz w:val="22"/>
          <w:szCs w:val="22"/>
          <w:lang w:val="en"/>
        </w:rPr>
        <w:t xml:space="preserve"> at mitochondria and mechanisms related to maintenance of </w:t>
      </w:r>
      <w:r>
        <w:rPr>
          <w:rFonts w:ascii="Arial" w:hAnsi="Arial" w:cs="Arial"/>
          <w:sz w:val="22"/>
          <w:szCs w:val="22"/>
          <w:lang w:val="en"/>
        </w:rPr>
        <w:t>their genome</w:t>
      </w:r>
      <w:r w:rsidRPr="003F6D92">
        <w:rPr>
          <w:rFonts w:ascii="Arial" w:hAnsi="Arial" w:cs="Arial"/>
          <w:sz w:val="22"/>
          <w:szCs w:val="22"/>
          <w:lang w:val="en"/>
        </w:rPr>
        <w:t xml:space="preserve"> integrity during the infection. </w:t>
      </w:r>
      <w:r w:rsidRPr="00882A83">
        <w:rPr>
          <w:rFonts w:ascii="Arial" w:hAnsi="Arial" w:cs="Arial"/>
          <w:sz w:val="22"/>
          <w:szCs w:val="22"/>
          <w:lang w:val="en-US"/>
        </w:rPr>
        <w:t xml:space="preserve">Finally, a translational approach is conducted, that aims at identifying biomarkers for an early detection of gastric cancer. </w:t>
      </w:r>
    </w:p>
    <w:p w14:paraId="5A89D279" w14:textId="77777777" w:rsidR="00DE6622" w:rsidRDefault="00DE6622">
      <w:pPr>
        <w:rPr>
          <w:rFonts w:ascii="Arial" w:hAnsi="Arial"/>
          <w:sz w:val="22"/>
          <w:u w:val="single"/>
          <w:lang w:val="en-US"/>
        </w:rPr>
      </w:pPr>
    </w:p>
    <w:p w14:paraId="25A5EED3" w14:textId="77777777" w:rsidR="00040F91" w:rsidRDefault="00040F91">
      <w:pPr>
        <w:rPr>
          <w:rFonts w:ascii="Arial" w:hAnsi="Arial"/>
          <w:sz w:val="22"/>
          <w:u w:val="single"/>
          <w:lang w:val="en-US"/>
        </w:rPr>
      </w:pPr>
    </w:p>
    <w:p w14:paraId="745C5D52" w14:textId="62463322" w:rsidR="00040F91" w:rsidRDefault="00040F91">
      <w:pPr>
        <w:rPr>
          <w:rFonts w:ascii="Arial" w:hAnsi="Arial"/>
          <w:sz w:val="22"/>
          <w:u w:val="single"/>
          <w:lang w:val="en-US"/>
        </w:rPr>
      </w:pPr>
      <w:r>
        <w:rPr>
          <w:rFonts w:ascii="Arial" w:hAnsi="Arial"/>
          <w:sz w:val="22"/>
          <w:u w:val="single"/>
          <w:lang w:val="en-US"/>
        </w:rPr>
        <w:br w:type="page"/>
      </w:r>
    </w:p>
    <w:p w14:paraId="55405841" w14:textId="77777777" w:rsidR="00DE6622" w:rsidRDefault="00DE6622">
      <w:pPr>
        <w:rPr>
          <w:rFonts w:ascii="Arial" w:hAnsi="Arial"/>
          <w:sz w:val="22"/>
          <w:u w:val="single"/>
          <w:lang w:val="en-US"/>
        </w:rPr>
      </w:pPr>
      <w:r>
        <w:rPr>
          <w:rFonts w:ascii="Arial" w:hAnsi="Arial"/>
          <w:sz w:val="22"/>
          <w:u w:val="single"/>
          <w:lang w:val="en-US"/>
        </w:rPr>
        <w:lastRenderedPageBreak/>
        <w:t>Description of the project:</w:t>
      </w:r>
    </w:p>
    <w:p w14:paraId="2DCE845F" w14:textId="77777777" w:rsidR="001B4442" w:rsidRDefault="001B4442">
      <w:pPr>
        <w:rPr>
          <w:rFonts w:ascii="Arial" w:hAnsi="Arial"/>
          <w:sz w:val="22"/>
          <w:u w:val="single"/>
          <w:lang w:val="en-US"/>
        </w:rPr>
      </w:pPr>
    </w:p>
    <w:p w14:paraId="23BFF21F" w14:textId="77777777" w:rsidR="00B816A1" w:rsidRPr="00882A83" w:rsidRDefault="00B816A1" w:rsidP="00B816A1">
      <w:pPr>
        <w:spacing w:line="276" w:lineRule="auto"/>
        <w:ind w:firstLine="284"/>
        <w:jc w:val="both"/>
        <w:rPr>
          <w:rFonts w:ascii="Arial" w:hAnsi="Arial" w:cs="Arial"/>
          <w:sz w:val="22"/>
          <w:szCs w:val="22"/>
          <w:lang w:val="en-US"/>
        </w:rPr>
      </w:pPr>
      <w:r w:rsidRPr="00882A83">
        <w:rPr>
          <w:rFonts w:ascii="Arial" w:hAnsi="Arial" w:cs="Arial"/>
          <w:i/>
          <w:sz w:val="22"/>
          <w:szCs w:val="22"/>
          <w:lang w:val="en-US"/>
        </w:rPr>
        <w:t xml:space="preserve">Helicobacter pylori </w:t>
      </w:r>
      <w:r w:rsidRPr="00882A83">
        <w:rPr>
          <w:rFonts w:ascii="Arial" w:hAnsi="Arial" w:cs="Arial"/>
          <w:sz w:val="22"/>
          <w:szCs w:val="22"/>
          <w:lang w:val="en-US"/>
        </w:rPr>
        <w:t>is a gastric pathogen that infects chronically about</w:t>
      </w:r>
      <w:r w:rsidRPr="00882A83">
        <w:rPr>
          <w:rFonts w:ascii="Arial" w:hAnsi="Arial" w:cs="Arial"/>
          <w:i/>
          <w:sz w:val="22"/>
          <w:szCs w:val="22"/>
          <w:lang w:val="en-US"/>
        </w:rPr>
        <w:t xml:space="preserve"> </w:t>
      </w:r>
      <w:r w:rsidRPr="00882A83">
        <w:rPr>
          <w:rFonts w:ascii="Arial" w:hAnsi="Arial" w:cs="Arial"/>
          <w:sz w:val="22"/>
          <w:szCs w:val="22"/>
          <w:lang w:val="en-US"/>
        </w:rPr>
        <w:t xml:space="preserve">50% of the human population worldwide. It induces gastric inflammation that can evolve to severe pathologies as peptic ulcers (10% of the infected population) and gastric cancer (1 to 3%). Up to now, </w:t>
      </w:r>
      <w:r w:rsidRPr="00882A83">
        <w:rPr>
          <w:rFonts w:ascii="Arial" w:hAnsi="Arial" w:cs="Arial"/>
          <w:i/>
          <w:sz w:val="22"/>
          <w:szCs w:val="22"/>
          <w:lang w:val="en-US"/>
        </w:rPr>
        <w:t>H. pylori</w:t>
      </w:r>
      <w:r w:rsidRPr="00882A83">
        <w:rPr>
          <w:rFonts w:ascii="Arial" w:hAnsi="Arial" w:cs="Arial"/>
          <w:sz w:val="22"/>
          <w:szCs w:val="22"/>
          <w:lang w:val="en-US"/>
        </w:rPr>
        <w:t xml:space="preserve"> is the only bacteria associated with cancer. We explore the events at the origin of the relation</w:t>
      </w:r>
      <w:r>
        <w:rPr>
          <w:rFonts w:ascii="Arial" w:hAnsi="Arial" w:cs="Arial"/>
          <w:sz w:val="22"/>
          <w:szCs w:val="22"/>
          <w:lang w:val="en-US"/>
        </w:rPr>
        <w:t>ship</w:t>
      </w:r>
      <w:r w:rsidRPr="00882A83">
        <w:rPr>
          <w:rFonts w:ascii="Arial" w:hAnsi="Arial" w:cs="Arial"/>
          <w:sz w:val="22"/>
          <w:szCs w:val="22"/>
          <w:lang w:val="en-US"/>
        </w:rPr>
        <w:t xml:space="preserve"> between this bacterium and gastric cancer development. We previously demonstrated a mutagenic effect in </w:t>
      </w:r>
      <w:r w:rsidRPr="00882A83">
        <w:rPr>
          <w:rFonts w:ascii="Arial" w:hAnsi="Arial" w:cs="Arial"/>
          <w:i/>
          <w:sz w:val="22"/>
          <w:szCs w:val="22"/>
          <w:lang w:val="en-US"/>
        </w:rPr>
        <w:t>H. pylori</w:t>
      </w:r>
      <w:r w:rsidRPr="00882A83">
        <w:rPr>
          <w:rFonts w:ascii="Arial" w:hAnsi="Arial" w:cs="Arial"/>
          <w:sz w:val="22"/>
          <w:szCs w:val="22"/>
          <w:lang w:val="en-US"/>
        </w:rPr>
        <w:t xml:space="preserve"> chronically-infected mice associated with gastric inflammation and an impairment of DNA repair systems</w:t>
      </w:r>
      <w:r>
        <w:rPr>
          <w:rFonts w:ascii="Arial" w:hAnsi="Arial" w:cs="Arial"/>
          <w:sz w:val="22"/>
          <w:szCs w:val="22"/>
          <w:lang w:val="en-US"/>
        </w:rPr>
        <w:t xml:space="preserve"> (1,2,3)</w:t>
      </w:r>
      <w:r w:rsidRPr="00882A83">
        <w:rPr>
          <w:rFonts w:ascii="Arial" w:hAnsi="Arial" w:cs="Arial"/>
          <w:sz w:val="22"/>
          <w:szCs w:val="22"/>
          <w:lang w:val="en-US"/>
        </w:rPr>
        <w:t xml:space="preserve">. </w:t>
      </w:r>
      <w:r w:rsidRPr="00882A83">
        <w:rPr>
          <w:rFonts w:ascii="Arial" w:hAnsi="Arial" w:cs="Arial"/>
          <w:i/>
          <w:sz w:val="22"/>
          <w:szCs w:val="22"/>
          <w:lang w:val="en-US"/>
        </w:rPr>
        <w:t xml:space="preserve">H. pylori </w:t>
      </w:r>
      <w:r w:rsidRPr="00882A83">
        <w:rPr>
          <w:rFonts w:ascii="Arial" w:hAnsi="Arial" w:cs="Arial"/>
          <w:sz w:val="22"/>
          <w:szCs w:val="22"/>
          <w:lang w:val="en-US"/>
        </w:rPr>
        <w:t xml:space="preserve">infection is also a source of epigenetic alterations in gastric epithelial cells. Both genetic instabilities and epigenetic mechanisms are known to occur at the initial steps of the carcinogenic process and play an important role in </w:t>
      </w:r>
      <w:r w:rsidRPr="00882A83">
        <w:rPr>
          <w:rFonts w:ascii="Arial" w:hAnsi="Arial" w:cs="Arial"/>
          <w:i/>
          <w:sz w:val="22"/>
          <w:szCs w:val="22"/>
          <w:lang w:val="en-US"/>
        </w:rPr>
        <w:t>H. pylori</w:t>
      </w:r>
      <w:r w:rsidRPr="00882A83">
        <w:rPr>
          <w:rFonts w:ascii="Arial" w:hAnsi="Arial" w:cs="Arial"/>
          <w:sz w:val="22"/>
          <w:szCs w:val="22"/>
          <w:lang w:val="en-US"/>
        </w:rPr>
        <w:t xml:space="preserve"> associated gastric carcinogenesis. Our previous studies showed that </w:t>
      </w:r>
      <w:r w:rsidRPr="00882A83">
        <w:rPr>
          <w:rFonts w:ascii="Arial" w:hAnsi="Arial" w:cs="Arial"/>
          <w:i/>
          <w:sz w:val="22"/>
          <w:szCs w:val="22"/>
          <w:lang w:val="en-US"/>
        </w:rPr>
        <w:t>H. pylori</w:t>
      </w:r>
      <w:r w:rsidRPr="00882A83">
        <w:rPr>
          <w:rFonts w:ascii="Arial" w:hAnsi="Arial" w:cs="Arial"/>
          <w:sz w:val="22"/>
          <w:szCs w:val="22"/>
          <w:lang w:val="en-US"/>
        </w:rPr>
        <w:t xml:space="preserve"> induces DNA methylation in the promoter region of the Upstream Stimulating Factors USF1 and USF2, leading to the inhibition of their transcription</w:t>
      </w:r>
      <w:r>
        <w:rPr>
          <w:rFonts w:ascii="Arial" w:hAnsi="Arial" w:cs="Arial"/>
          <w:sz w:val="22"/>
          <w:szCs w:val="22"/>
          <w:lang w:val="en-US"/>
        </w:rPr>
        <w:t xml:space="preserve"> (4)</w:t>
      </w:r>
      <w:r w:rsidRPr="00882A83">
        <w:rPr>
          <w:rFonts w:ascii="Arial" w:hAnsi="Arial" w:cs="Arial"/>
          <w:sz w:val="22"/>
          <w:szCs w:val="22"/>
          <w:lang w:val="en-US"/>
        </w:rPr>
        <w:t xml:space="preserve">. USF1 and USF2 are pleiotropic transcription factors and key regulators of genes related to stress conditions, cell proliferation, immune response and DNA damage and repair response. They act as homo- or heterodimers. USF1 and USF2 interact with specific E-boxes DNA binding sequences in promoter regions of their target genes. They have been proposed as tumor suppressor genes. Their role in the host response during </w:t>
      </w:r>
      <w:r w:rsidRPr="00882A83">
        <w:rPr>
          <w:rFonts w:ascii="Arial" w:hAnsi="Arial" w:cs="Arial"/>
          <w:i/>
          <w:sz w:val="22"/>
          <w:szCs w:val="22"/>
          <w:lang w:val="en-US"/>
        </w:rPr>
        <w:t xml:space="preserve">H. pylori </w:t>
      </w:r>
      <w:r w:rsidRPr="00882A83">
        <w:rPr>
          <w:rFonts w:ascii="Arial" w:hAnsi="Arial" w:cs="Arial"/>
          <w:sz w:val="22"/>
          <w:szCs w:val="22"/>
          <w:lang w:val="en-US"/>
        </w:rPr>
        <w:t xml:space="preserve">infection and their impact in the associated gastric carcinogenesis remain to be determined. </w:t>
      </w:r>
    </w:p>
    <w:p w14:paraId="15B8480F" w14:textId="50DDF135" w:rsidR="00B816A1" w:rsidRDefault="00B816A1" w:rsidP="00B816A1">
      <w:pPr>
        <w:spacing w:line="276" w:lineRule="auto"/>
        <w:ind w:firstLine="284"/>
        <w:jc w:val="both"/>
        <w:rPr>
          <w:rFonts w:ascii="Arial" w:hAnsi="Arial" w:cs="Arial"/>
          <w:sz w:val="22"/>
          <w:szCs w:val="22"/>
          <w:lang w:val="en-US"/>
        </w:rPr>
      </w:pPr>
      <w:r w:rsidRPr="00882A83">
        <w:rPr>
          <w:rFonts w:ascii="Arial" w:hAnsi="Arial" w:cs="Arial"/>
          <w:sz w:val="22"/>
          <w:szCs w:val="22"/>
          <w:lang w:val="en-US"/>
        </w:rPr>
        <w:t xml:space="preserve">The proposed project aims </w:t>
      </w:r>
      <w:r>
        <w:rPr>
          <w:rFonts w:ascii="Arial" w:hAnsi="Arial" w:cs="Arial"/>
          <w:sz w:val="22"/>
          <w:szCs w:val="22"/>
          <w:lang w:val="en-US"/>
        </w:rPr>
        <w:t>to investigate</w:t>
      </w:r>
      <w:r w:rsidRPr="00882A83">
        <w:rPr>
          <w:rFonts w:ascii="Arial" w:hAnsi="Arial" w:cs="Arial"/>
          <w:sz w:val="22"/>
          <w:szCs w:val="22"/>
          <w:lang w:val="en-US"/>
        </w:rPr>
        <w:t xml:space="preserve"> the consequences of the </w:t>
      </w:r>
      <w:r w:rsidRPr="00882A83">
        <w:rPr>
          <w:rFonts w:ascii="Arial" w:hAnsi="Arial" w:cs="Arial"/>
          <w:i/>
          <w:sz w:val="22"/>
          <w:szCs w:val="22"/>
          <w:lang w:val="en-US"/>
        </w:rPr>
        <w:t>H. pylori</w:t>
      </w:r>
      <w:r w:rsidRPr="00882A83">
        <w:rPr>
          <w:rFonts w:ascii="Arial" w:hAnsi="Arial" w:cs="Arial"/>
          <w:sz w:val="22"/>
          <w:szCs w:val="22"/>
          <w:lang w:val="en-US"/>
        </w:rPr>
        <w:t>-mediated USF1 deregulation on the host response with a special focus on genes related to oncogenesis and</w:t>
      </w:r>
      <w:r w:rsidR="003E3A0F">
        <w:rPr>
          <w:rFonts w:ascii="Arial" w:hAnsi="Arial" w:cs="Arial"/>
          <w:sz w:val="22"/>
          <w:szCs w:val="22"/>
          <w:lang w:val="en-US"/>
        </w:rPr>
        <w:t xml:space="preserve"> associated regulatory pathways. This will be performed on ex-vivo mouse gastric explants cultures under different conditions of </w:t>
      </w:r>
      <w:r w:rsidR="003E3A0F" w:rsidRPr="003E3A0F">
        <w:rPr>
          <w:rFonts w:ascii="Arial" w:hAnsi="Arial" w:cs="Arial"/>
          <w:i/>
          <w:sz w:val="22"/>
          <w:szCs w:val="22"/>
          <w:lang w:val="en-US"/>
        </w:rPr>
        <w:t>H. pylori</w:t>
      </w:r>
      <w:r w:rsidR="003E3A0F">
        <w:rPr>
          <w:rFonts w:ascii="Arial" w:hAnsi="Arial" w:cs="Arial"/>
          <w:sz w:val="22"/>
          <w:szCs w:val="22"/>
          <w:lang w:val="en-US"/>
        </w:rPr>
        <w:t xml:space="preserve"> infection and</w:t>
      </w:r>
      <w:r w:rsidRPr="00882A83">
        <w:rPr>
          <w:rFonts w:ascii="Arial" w:hAnsi="Arial" w:cs="Arial"/>
          <w:sz w:val="22"/>
          <w:szCs w:val="22"/>
          <w:lang w:val="en-US"/>
        </w:rPr>
        <w:t xml:space="preserve"> using global </w:t>
      </w:r>
      <w:r>
        <w:rPr>
          <w:rFonts w:ascii="Arial" w:hAnsi="Arial" w:cs="Arial"/>
          <w:sz w:val="22"/>
          <w:szCs w:val="22"/>
          <w:lang w:val="en-US"/>
        </w:rPr>
        <w:t>transcriptomic and proteomic approaches</w:t>
      </w:r>
      <w:r w:rsidRPr="00882A83">
        <w:rPr>
          <w:rFonts w:ascii="Arial" w:hAnsi="Arial" w:cs="Arial"/>
          <w:sz w:val="22"/>
          <w:szCs w:val="22"/>
          <w:lang w:val="en-US"/>
        </w:rPr>
        <w:t>. The mechanisms of regulation of the identified genes will be investigated by several molecular and cellular approaches</w:t>
      </w:r>
      <w:r>
        <w:rPr>
          <w:rFonts w:ascii="Arial" w:hAnsi="Arial" w:cs="Arial"/>
          <w:sz w:val="22"/>
          <w:szCs w:val="22"/>
          <w:lang w:val="en-US"/>
        </w:rPr>
        <w:t>. In order to analyz</w:t>
      </w:r>
      <w:r w:rsidRPr="00882A83">
        <w:rPr>
          <w:rFonts w:ascii="Arial" w:hAnsi="Arial" w:cs="Arial"/>
          <w:sz w:val="22"/>
          <w:szCs w:val="22"/>
          <w:lang w:val="en-US"/>
        </w:rPr>
        <w:t xml:space="preserve">e the consequences of USF depletion on the gastric pathogenicity associated to </w:t>
      </w:r>
      <w:r w:rsidRPr="00882A83">
        <w:rPr>
          <w:rFonts w:ascii="Arial" w:hAnsi="Arial" w:cs="Arial"/>
          <w:i/>
          <w:sz w:val="22"/>
          <w:szCs w:val="22"/>
          <w:lang w:val="en-US"/>
        </w:rPr>
        <w:t>H. pylori</w:t>
      </w:r>
      <w:r w:rsidRPr="00882A83">
        <w:rPr>
          <w:rFonts w:ascii="Arial" w:hAnsi="Arial" w:cs="Arial"/>
          <w:sz w:val="22"/>
          <w:szCs w:val="22"/>
          <w:lang w:val="en-US"/>
        </w:rPr>
        <w:t xml:space="preserve"> infection, a mouse model will also be used</w:t>
      </w:r>
      <w:r w:rsidR="004530E5">
        <w:rPr>
          <w:rFonts w:ascii="Arial" w:hAnsi="Arial" w:cs="Arial"/>
          <w:sz w:val="22"/>
          <w:szCs w:val="22"/>
          <w:lang w:val="en-US"/>
        </w:rPr>
        <w:t xml:space="preserve"> including USF1 Knock-out and wild-type mice</w:t>
      </w:r>
      <w:r w:rsidRPr="00882A83">
        <w:rPr>
          <w:rFonts w:ascii="Arial" w:hAnsi="Arial" w:cs="Arial"/>
          <w:sz w:val="22"/>
          <w:szCs w:val="22"/>
          <w:lang w:val="en-US"/>
        </w:rPr>
        <w:t xml:space="preserve">. The second part of the project will </w:t>
      </w:r>
      <w:r>
        <w:rPr>
          <w:rFonts w:ascii="Arial" w:hAnsi="Arial" w:cs="Arial"/>
          <w:sz w:val="22"/>
          <w:szCs w:val="22"/>
          <w:lang w:val="en-US"/>
        </w:rPr>
        <w:t>compare the deregulation of the USF</w:t>
      </w:r>
      <w:r w:rsidR="004530E5">
        <w:rPr>
          <w:rFonts w:ascii="Arial" w:hAnsi="Arial" w:cs="Arial"/>
          <w:sz w:val="22"/>
          <w:szCs w:val="22"/>
          <w:lang w:val="en-US"/>
        </w:rPr>
        <w:t>1</w:t>
      </w:r>
      <w:r>
        <w:rPr>
          <w:rFonts w:ascii="Arial" w:hAnsi="Arial" w:cs="Arial"/>
          <w:sz w:val="22"/>
          <w:szCs w:val="22"/>
          <w:lang w:val="en-US"/>
        </w:rPr>
        <w:t xml:space="preserve"> </w:t>
      </w:r>
      <w:r w:rsidR="004530E5">
        <w:rPr>
          <w:rFonts w:ascii="Arial" w:hAnsi="Arial" w:cs="Arial"/>
          <w:sz w:val="22"/>
          <w:szCs w:val="22"/>
          <w:lang w:val="en-US"/>
        </w:rPr>
        <w:t>levels</w:t>
      </w:r>
      <w:r>
        <w:rPr>
          <w:rFonts w:ascii="Arial" w:hAnsi="Arial" w:cs="Arial"/>
          <w:sz w:val="22"/>
          <w:szCs w:val="22"/>
          <w:lang w:val="en-US"/>
        </w:rPr>
        <w:t xml:space="preserve"> by various </w:t>
      </w:r>
      <w:r w:rsidRPr="00B816A1">
        <w:rPr>
          <w:rFonts w:ascii="Arial" w:hAnsi="Arial" w:cs="Arial"/>
          <w:i/>
          <w:sz w:val="22"/>
          <w:szCs w:val="22"/>
          <w:lang w:val="en-US"/>
        </w:rPr>
        <w:t>H. pylori</w:t>
      </w:r>
      <w:r>
        <w:rPr>
          <w:rFonts w:ascii="Arial" w:hAnsi="Arial" w:cs="Arial"/>
          <w:sz w:val="22"/>
          <w:szCs w:val="22"/>
          <w:lang w:val="en-US"/>
        </w:rPr>
        <w:t xml:space="preserve"> clinical isolates from gastritis and gastric cancer patients and will </w:t>
      </w:r>
      <w:r w:rsidRPr="00882A83">
        <w:rPr>
          <w:rFonts w:ascii="Arial" w:hAnsi="Arial" w:cs="Arial"/>
          <w:sz w:val="22"/>
          <w:szCs w:val="22"/>
          <w:lang w:val="en-US"/>
        </w:rPr>
        <w:t xml:space="preserve">focus on the identification of </w:t>
      </w:r>
      <w:r w:rsidRPr="00882A83">
        <w:rPr>
          <w:rFonts w:ascii="Arial" w:hAnsi="Arial" w:cs="Arial"/>
          <w:i/>
          <w:sz w:val="22"/>
          <w:szCs w:val="22"/>
          <w:lang w:val="en-US"/>
        </w:rPr>
        <w:t>H. pylori</w:t>
      </w:r>
      <w:r w:rsidRPr="00882A83">
        <w:rPr>
          <w:rFonts w:ascii="Arial" w:hAnsi="Arial" w:cs="Arial"/>
          <w:sz w:val="22"/>
          <w:szCs w:val="22"/>
          <w:lang w:val="en-US"/>
        </w:rPr>
        <w:t xml:space="preserve"> factors </w:t>
      </w:r>
      <w:r>
        <w:rPr>
          <w:rFonts w:ascii="Arial" w:hAnsi="Arial" w:cs="Arial"/>
          <w:sz w:val="22"/>
          <w:szCs w:val="22"/>
          <w:lang w:val="en-US"/>
        </w:rPr>
        <w:t>responsible for</w:t>
      </w:r>
      <w:r w:rsidRPr="00882A83">
        <w:rPr>
          <w:rFonts w:ascii="Arial" w:hAnsi="Arial" w:cs="Arial"/>
          <w:sz w:val="22"/>
          <w:szCs w:val="22"/>
          <w:lang w:val="en-US"/>
        </w:rPr>
        <w:t xml:space="preserve"> the deregulation of USF1 and </w:t>
      </w:r>
      <w:r w:rsidR="00042D78">
        <w:rPr>
          <w:rFonts w:ascii="Arial" w:hAnsi="Arial" w:cs="Arial"/>
          <w:sz w:val="22"/>
          <w:szCs w:val="22"/>
          <w:lang w:val="en-US"/>
        </w:rPr>
        <w:t>its</w:t>
      </w:r>
      <w:r w:rsidRPr="00882A83">
        <w:rPr>
          <w:rFonts w:ascii="Arial" w:hAnsi="Arial" w:cs="Arial"/>
          <w:sz w:val="22"/>
          <w:szCs w:val="22"/>
          <w:lang w:val="en-US"/>
        </w:rPr>
        <w:t xml:space="preserve"> target genes. This includes characterization, by biochemical and genetic approaches, of </w:t>
      </w:r>
      <w:r w:rsidRPr="00882A83">
        <w:rPr>
          <w:rFonts w:ascii="Arial" w:hAnsi="Arial" w:cs="Arial"/>
          <w:i/>
          <w:sz w:val="22"/>
          <w:szCs w:val="22"/>
          <w:lang w:val="en-US"/>
        </w:rPr>
        <w:t>H. pylori</w:t>
      </w:r>
      <w:r w:rsidRPr="00882A83">
        <w:rPr>
          <w:rFonts w:ascii="Arial" w:hAnsi="Arial" w:cs="Arial"/>
          <w:sz w:val="22"/>
          <w:szCs w:val="22"/>
          <w:lang w:val="en-US"/>
        </w:rPr>
        <w:t xml:space="preserve"> candidates based on their ability to deregulate USF1 </w:t>
      </w:r>
      <w:r w:rsidR="00042D78">
        <w:rPr>
          <w:rFonts w:ascii="Arial" w:hAnsi="Arial" w:cs="Arial"/>
          <w:sz w:val="22"/>
          <w:szCs w:val="22"/>
          <w:lang w:val="en-US"/>
        </w:rPr>
        <w:t>gene</w:t>
      </w:r>
      <w:r w:rsidRPr="00882A83">
        <w:rPr>
          <w:rFonts w:ascii="Arial" w:hAnsi="Arial" w:cs="Arial"/>
          <w:sz w:val="22"/>
          <w:szCs w:val="22"/>
          <w:lang w:val="en-US"/>
        </w:rPr>
        <w:t xml:space="preserve"> expression in gastric epithelial cells </w:t>
      </w:r>
      <w:r w:rsidRPr="00882A83">
        <w:rPr>
          <w:rFonts w:ascii="Arial" w:hAnsi="Arial" w:cs="Arial"/>
          <w:i/>
          <w:sz w:val="22"/>
          <w:szCs w:val="22"/>
          <w:lang w:val="en-US"/>
        </w:rPr>
        <w:t>in vitro</w:t>
      </w:r>
      <w:r w:rsidRPr="00882A83">
        <w:rPr>
          <w:rFonts w:ascii="Arial" w:hAnsi="Arial" w:cs="Arial"/>
          <w:sz w:val="22"/>
          <w:szCs w:val="22"/>
          <w:lang w:val="en-US"/>
        </w:rPr>
        <w:t xml:space="preserve">. </w:t>
      </w:r>
    </w:p>
    <w:p w14:paraId="59B13526" w14:textId="77777777" w:rsidR="00B816A1" w:rsidRDefault="00B816A1" w:rsidP="00B816A1">
      <w:pPr>
        <w:spacing w:line="276" w:lineRule="auto"/>
        <w:ind w:firstLine="284"/>
        <w:jc w:val="both"/>
        <w:rPr>
          <w:rFonts w:ascii="Arial" w:hAnsi="Arial"/>
          <w:sz w:val="22"/>
          <w:u w:val="single"/>
          <w:lang w:val="en-US"/>
        </w:rPr>
      </w:pPr>
      <w:r w:rsidRPr="00882A83">
        <w:rPr>
          <w:rFonts w:ascii="Arial" w:hAnsi="Arial" w:cs="Arial"/>
          <w:sz w:val="22"/>
          <w:szCs w:val="22"/>
          <w:lang w:val="en-US"/>
        </w:rPr>
        <w:t xml:space="preserve">In conclusion, </w:t>
      </w:r>
      <w:r>
        <w:rPr>
          <w:rFonts w:ascii="Arial" w:hAnsi="Arial" w:cs="Arial"/>
          <w:sz w:val="22"/>
          <w:szCs w:val="22"/>
          <w:lang w:val="en-US"/>
        </w:rPr>
        <w:t>this</w:t>
      </w:r>
      <w:r w:rsidRPr="00882A83">
        <w:rPr>
          <w:rFonts w:ascii="Arial" w:hAnsi="Arial" w:cs="Arial"/>
          <w:sz w:val="22"/>
          <w:szCs w:val="22"/>
          <w:lang w:val="en-US"/>
        </w:rPr>
        <w:t xml:space="preserve"> project will combine different complementary approaches that will allow further insights in the role of these pleiotropic transcription factors and their involvement in mechanisms leading to severe clinical outcome of </w:t>
      </w:r>
      <w:r w:rsidRPr="00882A83">
        <w:rPr>
          <w:rFonts w:ascii="Arial" w:hAnsi="Arial" w:cs="Arial"/>
          <w:i/>
          <w:sz w:val="22"/>
          <w:szCs w:val="22"/>
          <w:lang w:val="en-US"/>
        </w:rPr>
        <w:t>H. pylori</w:t>
      </w:r>
      <w:r w:rsidRPr="00882A83">
        <w:rPr>
          <w:rFonts w:ascii="Arial" w:hAnsi="Arial" w:cs="Arial"/>
          <w:sz w:val="22"/>
          <w:szCs w:val="22"/>
          <w:lang w:val="en-US"/>
        </w:rPr>
        <w:t xml:space="preserve"> infection. It will also lead to the characterization of new </w:t>
      </w:r>
      <w:r w:rsidRPr="00882A83">
        <w:rPr>
          <w:rFonts w:ascii="Arial" w:hAnsi="Arial" w:cs="Arial"/>
          <w:i/>
          <w:sz w:val="22"/>
          <w:szCs w:val="22"/>
          <w:lang w:val="en-US"/>
        </w:rPr>
        <w:t>H. pylori</w:t>
      </w:r>
      <w:r w:rsidRPr="00882A83">
        <w:rPr>
          <w:rFonts w:ascii="Arial" w:hAnsi="Arial" w:cs="Arial"/>
          <w:sz w:val="22"/>
          <w:szCs w:val="22"/>
          <w:lang w:val="en-US"/>
        </w:rPr>
        <w:t xml:space="preserve"> virulence factors with potential oncogenic properties.</w:t>
      </w:r>
    </w:p>
    <w:p w14:paraId="4BFB49AB" w14:textId="77777777" w:rsidR="00DE6622" w:rsidRDefault="00DE6622">
      <w:pPr>
        <w:rPr>
          <w:rFonts w:ascii="Arial" w:hAnsi="Arial"/>
          <w:sz w:val="22"/>
          <w:u w:val="single"/>
          <w:lang w:val="en-US"/>
        </w:rPr>
      </w:pPr>
    </w:p>
    <w:p w14:paraId="08FA5692" w14:textId="77777777" w:rsidR="00DE6622" w:rsidRDefault="00DE6622">
      <w:pPr>
        <w:rPr>
          <w:rFonts w:ascii="Arial" w:hAnsi="Arial"/>
          <w:sz w:val="22"/>
          <w:u w:val="single"/>
          <w:lang w:val="en-US"/>
        </w:rPr>
      </w:pPr>
    </w:p>
    <w:p w14:paraId="06D7D272" w14:textId="77777777" w:rsidR="00DE6622" w:rsidRDefault="00DE6622">
      <w:pPr>
        <w:rPr>
          <w:rFonts w:ascii="Arial" w:hAnsi="Arial"/>
          <w:sz w:val="22"/>
          <w:u w:val="single"/>
          <w:lang w:val="en-US"/>
        </w:rPr>
      </w:pPr>
      <w:r>
        <w:rPr>
          <w:rFonts w:ascii="Arial" w:hAnsi="Arial"/>
          <w:sz w:val="22"/>
          <w:u w:val="single"/>
          <w:lang w:val="en-US"/>
        </w:rPr>
        <w:t>References:</w:t>
      </w:r>
    </w:p>
    <w:p w14:paraId="73C21FD0" w14:textId="77777777" w:rsidR="00B816A1" w:rsidRPr="005F6A4B" w:rsidRDefault="00B816A1" w:rsidP="00B816A1">
      <w:pPr>
        <w:rPr>
          <w:rFonts w:ascii="Arial" w:hAnsi="Arial"/>
          <w:sz w:val="22"/>
          <w:u w:val="single"/>
          <w:lang w:val="en-US"/>
        </w:rPr>
      </w:pPr>
    </w:p>
    <w:p w14:paraId="794B63F9" w14:textId="54AFF058" w:rsidR="00B816A1" w:rsidRPr="001B4442" w:rsidRDefault="00B816A1" w:rsidP="001B4442">
      <w:pPr>
        <w:pStyle w:val="Pardeliste"/>
        <w:numPr>
          <w:ilvl w:val="0"/>
          <w:numId w:val="5"/>
        </w:numPr>
        <w:ind w:left="426"/>
        <w:jc w:val="both"/>
        <w:rPr>
          <w:rFonts w:ascii="Arial" w:hAnsi="Arial"/>
          <w:i/>
          <w:sz w:val="18"/>
          <w:szCs w:val="18"/>
          <w:lang w:val="en"/>
        </w:rPr>
      </w:pPr>
      <w:proofErr w:type="spellStart"/>
      <w:r w:rsidRPr="001B4442">
        <w:rPr>
          <w:rFonts w:ascii="Arial" w:hAnsi="Arial"/>
          <w:i/>
          <w:sz w:val="18"/>
          <w:szCs w:val="18"/>
          <w:lang w:val="en"/>
        </w:rPr>
        <w:t>Touati</w:t>
      </w:r>
      <w:proofErr w:type="spellEnd"/>
      <w:r w:rsidRPr="001B4442">
        <w:rPr>
          <w:rFonts w:ascii="Arial" w:hAnsi="Arial"/>
          <w:i/>
          <w:sz w:val="18"/>
          <w:szCs w:val="18"/>
          <w:lang w:val="en"/>
        </w:rPr>
        <w:t xml:space="preserve"> et al, (2003) Chronic Helicobacter pylori infection induce gastric mutations in mice. Gastroenterology, </w:t>
      </w:r>
      <w:r w:rsidRPr="001B4442">
        <w:rPr>
          <w:rFonts w:ascii="Arial" w:hAnsi="Arial"/>
          <w:b/>
          <w:i/>
          <w:sz w:val="18"/>
          <w:szCs w:val="18"/>
          <w:lang w:val="en"/>
        </w:rPr>
        <w:t>124</w:t>
      </w:r>
      <w:r w:rsidRPr="001B4442">
        <w:rPr>
          <w:rFonts w:ascii="Arial" w:hAnsi="Arial"/>
          <w:i/>
          <w:sz w:val="18"/>
          <w:szCs w:val="18"/>
          <w:lang w:val="en"/>
        </w:rPr>
        <w:t>, 1408-1419</w:t>
      </w:r>
    </w:p>
    <w:p w14:paraId="49DF9BCD" w14:textId="77777777" w:rsidR="001B4442" w:rsidRPr="001B4442" w:rsidRDefault="001B4442" w:rsidP="001B4442">
      <w:pPr>
        <w:ind w:left="426"/>
        <w:jc w:val="both"/>
        <w:rPr>
          <w:rFonts w:ascii="Arial" w:hAnsi="Arial"/>
          <w:i/>
          <w:sz w:val="10"/>
          <w:szCs w:val="10"/>
          <w:lang w:val="en"/>
        </w:rPr>
      </w:pPr>
    </w:p>
    <w:p w14:paraId="5C473992" w14:textId="312D44BE" w:rsidR="00B816A1" w:rsidRPr="001B4442" w:rsidRDefault="00B816A1" w:rsidP="001B4442">
      <w:pPr>
        <w:pStyle w:val="Pardeliste"/>
        <w:numPr>
          <w:ilvl w:val="0"/>
          <w:numId w:val="5"/>
        </w:numPr>
        <w:ind w:left="426"/>
        <w:jc w:val="both"/>
        <w:rPr>
          <w:rFonts w:ascii="Arial" w:hAnsi="Arial"/>
          <w:i/>
          <w:sz w:val="18"/>
          <w:szCs w:val="18"/>
          <w:lang w:val="en-GB"/>
        </w:rPr>
      </w:pPr>
      <w:r w:rsidRPr="001B4442">
        <w:rPr>
          <w:rFonts w:ascii="Arial" w:hAnsi="Arial"/>
          <w:i/>
          <w:sz w:val="18"/>
          <w:szCs w:val="18"/>
          <w:lang w:val="en"/>
        </w:rPr>
        <w:t xml:space="preserve">Machado AM et al (2009) Helicobacter pylori infection influences genetic stability of nuclear and mitochondrial DNA. Clinical Cancer Research, </w:t>
      </w:r>
      <w:r w:rsidRPr="001B4442">
        <w:rPr>
          <w:rFonts w:ascii="Arial" w:hAnsi="Arial"/>
          <w:b/>
          <w:i/>
          <w:sz w:val="18"/>
          <w:szCs w:val="18"/>
          <w:lang w:val="en"/>
        </w:rPr>
        <w:t>15 </w:t>
      </w:r>
      <w:r w:rsidRPr="001B4442">
        <w:rPr>
          <w:rFonts w:ascii="Arial" w:hAnsi="Arial"/>
          <w:i/>
          <w:sz w:val="18"/>
          <w:szCs w:val="18"/>
          <w:lang w:val="en"/>
        </w:rPr>
        <w:t>: 2995-3002.</w:t>
      </w:r>
    </w:p>
    <w:p w14:paraId="6AD53A13" w14:textId="77777777" w:rsidR="001B4442" w:rsidRPr="001B4442" w:rsidRDefault="001B4442" w:rsidP="001B4442">
      <w:pPr>
        <w:ind w:left="426"/>
        <w:jc w:val="both"/>
        <w:rPr>
          <w:rFonts w:ascii="Arial" w:hAnsi="Arial"/>
          <w:i/>
          <w:sz w:val="10"/>
          <w:szCs w:val="10"/>
          <w:lang w:val="en-GB"/>
        </w:rPr>
      </w:pPr>
    </w:p>
    <w:p w14:paraId="33788875" w14:textId="62EB073B" w:rsidR="00B816A1" w:rsidRPr="001B4442" w:rsidRDefault="00B816A1" w:rsidP="001B4442">
      <w:pPr>
        <w:pStyle w:val="Pardeliste"/>
        <w:numPr>
          <w:ilvl w:val="0"/>
          <w:numId w:val="5"/>
        </w:numPr>
        <w:ind w:left="426"/>
        <w:jc w:val="both"/>
        <w:rPr>
          <w:i/>
          <w:sz w:val="18"/>
          <w:szCs w:val="18"/>
          <w:lang w:val="en-GB"/>
        </w:rPr>
      </w:pPr>
      <w:proofErr w:type="spellStart"/>
      <w:r w:rsidRPr="001B4442">
        <w:rPr>
          <w:rFonts w:ascii="Arial" w:hAnsi="Arial"/>
          <w:i/>
          <w:sz w:val="18"/>
          <w:szCs w:val="18"/>
          <w:lang w:val="en"/>
        </w:rPr>
        <w:t>Touati</w:t>
      </w:r>
      <w:proofErr w:type="spellEnd"/>
      <w:r w:rsidRPr="001B4442">
        <w:rPr>
          <w:rFonts w:ascii="Arial" w:hAnsi="Arial"/>
          <w:b/>
          <w:i/>
          <w:sz w:val="18"/>
          <w:szCs w:val="18"/>
          <w:lang w:val="en"/>
        </w:rPr>
        <w:t xml:space="preserve"> </w:t>
      </w:r>
      <w:r w:rsidRPr="001B4442">
        <w:rPr>
          <w:rFonts w:ascii="Arial" w:hAnsi="Arial"/>
          <w:i/>
          <w:sz w:val="18"/>
          <w:szCs w:val="18"/>
          <w:lang w:val="en"/>
        </w:rPr>
        <w:t>E.</w:t>
      </w:r>
      <w:r w:rsidRPr="001B4442">
        <w:rPr>
          <w:rFonts w:ascii="Arial" w:hAnsi="Arial"/>
          <w:b/>
          <w:i/>
          <w:sz w:val="18"/>
          <w:szCs w:val="18"/>
          <w:lang w:val="en"/>
        </w:rPr>
        <w:t xml:space="preserve"> </w:t>
      </w:r>
      <w:r w:rsidRPr="001B4442">
        <w:rPr>
          <w:rFonts w:ascii="Arial" w:hAnsi="Arial"/>
          <w:i/>
          <w:sz w:val="18"/>
          <w:szCs w:val="18"/>
          <w:lang w:val="en"/>
        </w:rPr>
        <w:t xml:space="preserve">(2010) When bacteria are mutagenic and carcinogenic: lessons from H. pylori. Mutation Research. </w:t>
      </w:r>
      <w:r w:rsidRPr="001B4442">
        <w:rPr>
          <w:rFonts w:ascii="Arial" w:hAnsi="Arial"/>
          <w:b/>
          <w:i/>
          <w:sz w:val="18"/>
          <w:szCs w:val="18"/>
          <w:lang w:val="en-GB"/>
        </w:rPr>
        <w:t>703</w:t>
      </w:r>
      <w:r w:rsidRPr="001B4442">
        <w:rPr>
          <w:rFonts w:ascii="Arial" w:hAnsi="Arial"/>
          <w:i/>
          <w:sz w:val="18"/>
          <w:szCs w:val="18"/>
          <w:lang w:val="en-GB"/>
        </w:rPr>
        <w:t>: 66-70.</w:t>
      </w:r>
    </w:p>
    <w:p w14:paraId="6AF8FFFA" w14:textId="77777777" w:rsidR="001B4442" w:rsidRPr="001B4442" w:rsidRDefault="001B4442" w:rsidP="001B4442">
      <w:pPr>
        <w:ind w:left="426"/>
        <w:jc w:val="both"/>
        <w:rPr>
          <w:i/>
          <w:sz w:val="10"/>
          <w:szCs w:val="10"/>
          <w:lang w:val="en-GB"/>
        </w:rPr>
      </w:pPr>
    </w:p>
    <w:p w14:paraId="3217B1FE" w14:textId="6D814CC1" w:rsidR="00B816A1" w:rsidRPr="001B4442" w:rsidRDefault="00B816A1" w:rsidP="001B4442">
      <w:pPr>
        <w:pStyle w:val="Pardeliste"/>
        <w:numPr>
          <w:ilvl w:val="0"/>
          <w:numId w:val="5"/>
        </w:numPr>
        <w:ind w:left="426"/>
        <w:jc w:val="both"/>
        <w:rPr>
          <w:rFonts w:ascii="Arial" w:hAnsi="Arial"/>
          <w:i/>
          <w:sz w:val="18"/>
          <w:szCs w:val="18"/>
          <w:lang w:val="en-GB"/>
        </w:rPr>
      </w:pPr>
      <w:proofErr w:type="spellStart"/>
      <w:r w:rsidRPr="001B4442">
        <w:rPr>
          <w:rFonts w:ascii="Arial" w:hAnsi="Arial"/>
          <w:i/>
          <w:sz w:val="18"/>
          <w:szCs w:val="18"/>
          <w:lang w:val="en"/>
        </w:rPr>
        <w:t>Bussière</w:t>
      </w:r>
      <w:proofErr w:type="spellEnd"/>
      <w:r w:rsidRPr="001B4442">
        <w:rPr>
          <w:rFonts w:ascii="Arial" w:hAnsi="Arial"/>
          <w:i/>
          <w:sz w:val="18"/>
          <w:szCs w:val="18"/>
          <w:lang w:val="en"/>
        </w:rPr>
        <w:t xml:space="preserve"> et al, (2010) H. pylori-induced promoter </w:t>
      </w:r>
      <w:proofErr w:type="spellStart"/>
      <w:r w:rsidRPr="001B4442">
        <w:rPr>
          <w:rFonts w:ascii="Arial" w:hAnsi="Arial"/>
          <w:i/>
          <w:sz w:val="18"/>
          <w:szCs w:val="18"/>
          <w:lang w:val="en"/>
        </w:rPr>
        <w:t>hypermethylation</w:t>
      </w:r>
      <w:proofErr w:type="spellEnd"/>
      <w:r w:rsidRPr="001B4442">
        <w:rPr>
          <w:rFonts w:ascii="Arial" w:hAnsi="Arial"/>
          <w:i/>
          <w:sz w:val="18"/>
          <w:szCs w:val="18"/>
          <w:lang w:val="en"/>
        </w:rPr>
        <w:t xml:space="preserve"> downregulates USF1 and USF2 transcription factor gene expression. Cellular Microbiology, </w:t>
      </w:r>
      <w:r w:rsidRPr="001B4442">
        <w:rPr>
          <w:rFonts w:ascii="Arial" w:hAnsi="Arial"/>
          <w:b/>
          <w:i/>
          <w:sz w:val="18"/>
          <w:szCs w:val="18"/>
          <w:lang w:val="en"/>
        </w:rPr>
        <w:t>12</w:t>
      </w:r>
      <w:r w:rsidRPr="001B4442">
        <w:rPr>
          <w:rFonts w:ascii="Arial" w:hAnsi="Arial"/>
          <w:i/>
          <w:sz w:val="18"/>
          <w:szCs w:val="18"/>
          <w:lang w:val="en"/>
        </w:rPr>
        <w:t> : 1124-1133.</w:t>
      </w:r>
    </w:p>
    <w:p w14:paraId="52142DAC" w14:textId="77777777" w:rsidR="00B816A1" w:rsidRDefault="00B816A1" w:rsidP="00B816A1">
      <w:pPr>
        <w:jc w:val="both"/>
        <w:rPr>
          <w:rFonts w:ascii="Arial" w:hAnsi="Arial"/>
          <w:sz w:val="22"/>
          <w:szCs w:val="22"/>
          <w:lang w:val="en-GB"/>
        </w:rPr>
      </w:pPr>
    </w:p>
    <w:p w14:paraId="03685661" w14:textId="77777777" w:rsidR="001B4442" w:rsidRDefault="001B4442" w:rsidP="00B816A1">
      <w:pPr>
        <w:jc w:val="both"/>
        <w:rPr>
          <w:rFonts w:ascii="Arial" w:hAnsi="Arial"/>
          <w:sz w:val="22"/>
          <w:szCs w:val="22"/>
          <w:lang w:val="en-GB"/>
        </w:rPr>
      </w:pPr>
    </w:p>
    <w:p w14:paraId="6B28F580" w14:textId="77777777" w:rsidR="00B816A1" w:rsidRDefault="00B816A1" w:rsidP="00B816A1">
      <w:pPr>
        <w:jc w:val="both"/>
        <w:rPr>
          <w:rFonts w:ascii="Arial" w:hAnsi="Arial"/>
          <w:i/>
          <w:sz w:val="22"/>
          <w:szCs w:val="22"/>
          <w:lang w:val="en-GB"/>
        </w:rPr>
      </w:pPr>
      <w:bookmarkStart w:id="0" w:name="_GoBack"/>
      <w:r w:rsidRPr="001C6E6B">
        <w:rPr>
          <w:rFonts w:ascii="Arial" w:hAnsi="Arial"/>
          <w:i/>
          <w:sz w:val="22"/>
          <w:szCs w:val="22"/>
          <w:lang w:val="en-GB"/>
        </w:rPr>
        <w:t>Other publications from the group:</w:t>
      </w:r>
    </w:p>
    <w:bookmarkEnd w:id="0"/>
    <w:p w14:paraId="1D5F1D6C" w14:textId="77777777" w:rsidR="00B816A1" w:rsidRDefault="00B816A1" w:rsidP="00B816A1">
      <w:pPr>
        <w:jc w:val="both"/>
        <w:rPr>
          <w:rFonts w:ascii="Arial" w:hAnsi="Arial"/>
          <w:i/>
          <w:sz w:val="22"/>
          <w:szCs w:val="22"/>
          <w:lang w:val="en-GB"/>
        </w:rPr>
      </w:pPr>
    </w:p>
    <w:p w14:paraId="64F87DB1" w14:textId="30C1DC75" w:rsidR="00B816A1" w:rsidRPr="001B4442" w:rsidRDefault="00B816A1" w:rsidP="001B4442">
      <w:pPr>
        <w:pStyle w:val="Pardeliste"/>
        <w:numPr>
          <w:ilvl w:val="0"/>
          <w:numId w:val="7"/>
        </w:numPr>
        <w:ind w:left="426"/>
        <w:rPr>
          <w:i/>
          <w:sz w:val="18"/>
          <w:szCs w:val="18"/>
          <w:lang w:val="en"/>
        </w:rPr>
      </w:pPr>
      <w:proofErr w:type="spellStart"/>
      <w:r w:rsidRPr="001B4442">
        <w:rPr>
          <w:rFonts w:ascii="Arial" w:hAnsi="Arial"/>
          <w:i/>
          <w:sz w:val="18"/>
          <w:szCs w:val="18"/>
          <w:lang w:val="en"/>
        </w:rPr>
        <w:t>Majlessi</w:t>
      </w:r>
      <w:proofErr w:type="spellEnd"/>
      <w:r w:rsidRPr="001B4442">
        <w:rPr>
          <w:rFonts w:ascii="Arial" w:hAnsi="Arial"/>
          <w:i/>
          <w:sz w:val="18"/>
          <w:szCs w:val="18"/>
          <w:lang w:val="en"/>
        </w:rPr>
        <w:t xml:space="preserve"> et al, (2017) Colonization with Helicobacter is concomitant with modified gut microbiota and drastic failure of the immune control of Mycobacterium tuberculosis.  Mucosal Immunology,</w:t>
      </w:r>
      <w:r w:rsidRPr="001B4442">
        <w:rPr>
          <w:rFonts w:ascii="Arial" w:hAnsi="Arial" w:cs="Arial"/>
          <w:i/>
          <w:sz w:val="18"/>
          <w:szCs w:val="18"/>
          <w:lang w:val="en"/>
        </w:rPr>
        <w:t xml:space="preserve"> Feb 1. </w:t>
      </w:r>
      <w:proofErr w:type="spellStart"/>
      <w:r w:rsidRPr="001B4442">
        <w:rPr>
          <w:rFonts w:ascii="Arial" w:hAnsi="Arial" w:cs="Arial"/>
          <w:i/>
          <w:sz w:val="18"/>
          <w:szCs w:val="18"/>
          <w:lang w:val="en"/>
        </w:rPr>
        <w:t>doi</w:t>
      </w:r>
      <w:proofErr w:type="spellEnd"/>
      <w:r w:rsidRPr="001B4442">
        <w:rPr>
          <w:rFonts w:ascii="Arial" w:hAnsi="Arial" w:cs="Arial"/>
          <w:i/>
          <w:sz w:val="18"/>
          <w:szCs w:val="18"/>
          <w:lang w:val="en"/>
        </w:rPr>
        <w:t>: 10.1038, PMID:28145441</w:t>
      </w:r>
    </w:p>
    <w:p w14:paraId="097DA142" w14:textId="77777777" w:rsidR="001B4442" w:rsidRPr="001B4442" w:rsidRDefault="001B4442" w:rsidP="001B4442">
      <w:pPr>
        <w:rPr>
          <w:i/>
          <w:sz w:val="10"/>
          <w:szCs w:val="10"/>
          <w:lang w:val="en"/>
        </w:rPr>
      </w:pPr>
    </w:p>
    <w:p w14:paraId="2BFAD7C1" w14:textId="68140AAE" w:rsidR="00B816A1" w:rsidRPr="001B4442" w:rsidRDefault="00B816A1" w:rsidP="001B4442">
      <w:pPr>
        <w:pStyle w:val="Pardeliste"/>
        <w:numPr>
          <w:ilvl w:val="0"/>
          <w:numId w:val="7"/>
        </w:numPr>
        <w:ind w:left="426"/>
        <w:jc w:val="both"/>
        <w:rPr>
          <w:rFonts w:ascii="Arial" w:hAnsi="Arial"/>
          <w:i/>
          <w:sz w:val="18"/>
          <w:szCs w:val="18"/>
          <w:lang w:val="en-GB"/>
        </w:rPr>
      </w:pPr>
      <w:proofErr w:type="spellStart"/>
      <w:r w:rsidRPr="001B4442">
        <w:rPr>
          <w:rFonts w:ascii="Arial" w:hAnsi="Arial"/>
          <w:i/>
          <w:sz w:val="18"/>
          <w:szCs w:val="18"/>
          <w:lang w:val="en"/>
        </w:rPr>
        <w:t>Fernandes</w:t>
      </w:r>
      <w:proofErr w:type="spellEnd"/>
      <w:r w:rsidRPr="001B4442">
        <w:rPr>
          <w:rFonts w:ascii="Arial" w:hAnsi="Arial"/>
          <w:i/>
          <w:sz w:val="18"/>
          <w:szCs w:val="18"/>
          <w:lang w:val="en"/>
        </w:rPr>
        <w:t xml:space="preserve"> J et al (2014) Circulating mitochondrial DNA level as a potential non-invasive biomarker to the early detection of gastric cancer. Cancer Epidemiology, Biomarkers and Prevention,  </w:t>
      </w:r>
      <w:r w:rsidRPr="001B4442">
        <w:rPr>
          <w:rFonts w:ascii="Arial" w:hAnsi="Arial"/>
          <w:b/>
          <w:i/>
          <w:sz w:val="18"/>
          <w:szCs w:val="18"/>
          <w:lang w:val="en"/>
        </w:rPr>
        <w:t>23</w:t>
      </w:r>
      <w:r w:rsidRPr="001B4442">
        <w:rPr>
          <w:rFonts w:ascii="Arial" w:hAnsi="Arial"/>
          <w:i/>
          <w:sz w:val="18"/>
          <w:szCs w:val="18"/>
          <w:lang w:val="en"/>
        </w:rPr>
        <w:t> : 2430-2438.</w:t>
      </w:r>
    </w:p>
    <w:p w14:paraId="7E0C2E3D" w14:textId="77777777" w:rsidR="001B4442" w:rsidRPr="001B4442" w:rsidRDefault="001B4442" w:rsidP="001B4442">
      <w:pPr>
        <w:jc w:val="both"/>
        <w:rPr>
          <w:rFonts w:ascii="Arial" w:hAnsi="Arial"/>
          <w:i/>
          <w:sz w:val="10"/>
          <w:szCs w:val="10"/>
          <w:lang w:val="en-GB"/>
        </w:rPr>
      </w:pPr>
    </w:p>
    <w:p w14:paraId="5133C288" w14:textId="6A59A99E" w:rsidR="00B816A1" w:rsidRPr="001B4442" w:rsidRDefault="00B816A1" w:rsidP="001B4442">
      <w:pPr>
        <w:pStyle w:val="Pardeliste"/>
        <w:numPr>
          <w:ilvl w:val="0"/>
          <w:numId w:val="7"/>
        </w:numPr>
        <w:ind w:left="426"/>
        <w:rPr>
          <w:rFonts w:ascii="Arial" w:hAnsi="Arial"/>
          <w:i/>
          <w:sz w:val="18"/>
          <w:szCs w:val="18"/>
          <w:lang w:val="en-GB"/>
        </w:rPr>
      </w:pPr>
      <w:proofErr w:type="spellStart"/>
      <w:r w:rsidRPr="001B4442">
        <w:rPr>
          <w:rFonts w:ascii="Arial" w:hAnsi="Arial"/>
          <w:i/>
          <w:sz w:val="18"/>
          <w:szCs w:val="18"/>
          <w:lang w:val="en"/>
        </w:rPr>
        <w:t>Correia</w:t>
      </w:r>
      <w:proofErr w:type="spellEnd"/>
      <w:r w:rsidRPr="001B4442">
        <w:rPr>
          <w:rFonts w:ascii="Arial" w:hAnsi="Arial"/>
          <w:i/>
          <w:sz w:val="18"/>
          <w:szCs w:val="18"/>
          <w:lang w:val="en"/>
        </w:rPr>
        <w:t xml:space="preserve"> M, et al (2013) Crosstalk between Helicobacter pylori and gastric epithelial cells is impaired by docosahexaenoic acid. </w:t>
      </w:r>
      <w:proofErr w:type="spellStart"/>
      <w:r w:rsidRPr="001B4442">
        <w:rPr>
          <w:rFonts w:ascii="Arial" w:hAnsi="Arial"/>
          <w:i/>
          <w:sz w:val="18"/>
          <w:szCs w:val="18"/>
          <w:lang w:val="en"/>
        </w:rPr>
        <w:t>PLoS</w:t>
      </w:r>
      <w:proofErr w:type="spellEnd"/>
      <w:r w:rsidRPr="001B4442">
        <w:rPr>
          <w:rFonts w:ascii="Arial" w:hAnsi="Arial"/>
          <w:i/>
          <w:sz w:val="18"/>
          <w:szCs w:val="18"/>
          <w:lang w:val="en"/>
        </w:rPr>
        <w:t xml:space="preserve"> ONE</w:t>
      </w:r>
      <w:r w:rsidRPr="001B4442">
        <w:rPr>
          <w:rFonts w:ascii="Arial" w:hAnsi="Arial"/>
          <w:b/>
          <w:i/>
          <w:sz w:val="18"/>
          <w:szCs w:val="18"/>
          <w:lang w:val="en"/>
        </w:rPr>
        <w:t>, 8</w:t>
      </w:r>
      <w:r w:rsidRPr="001B4442">
        <w:rPr>
          <w:rFonts w:ascii="Arial" w:hAnsi="Arial"/>
          <w:i/>
          <w:sz w:val="18"/>
          <w:szCs w:val="18"/>
          <w:lang w:val="en"/>
        </w:rPr>
        <w:t> : e60657.</w:t>
      </w:r>
    </w:p>
    <w:p w14:paraId="18180E28" w14:textId="77777777" w:rsidR="001B4442" w:rsidRPr="001B4442" w:rsidRDefault="001B4442" w:rsidP="001B4442">
      <w:pPr>
        <w:rPr>
          <w:rFonts w:ascii="Arial" w:hAnsi="Arial"/>
          <w:i/>
          <w:sz w:val="10"/>
          <w:szCs w:val="10"/>
          <w:lang w:val="en-GB"/>
        </w:rPr>
      </w:pPr>
    </w:p>
    <w:p w14:paraId="49BAB6D2" w14:textId="190BB3CF" w:rsidR="00B816A1" w:rsidRPr="001B4442" w:rsidRDefault="00B816A1" w:rsidP="001B4442">
      <w:pPr>
        <w:pStyle w:val="Pardeliste"/>
        <w:numPr>
          <w:ilvl w:val="0"/>
          <w:numId w:val="7"/>
        </w:numPr>
        <w:ind w:left="426"/>
        <w:rPr>
          <w:rFonts w:ascii="Arial" w:hAnsi="Arial"/>
          <w:i/>
          <w:sz w:val="18"/>
          <w:szCs w:val="18"/>
          <w:lang w:val="en-GB"/>
        </w:rPr>
      </w:pPr>
      <w:r w:rsidRPr="001B4442">
        <w:rPr>
          <w:rFonts w:ascii="Arial" w:hAnsi="Arial"/>
          <w:i/>
          <w:sz w:val="18"/>
          <w:szCs w:val="18"/>
          <w:lang w:val="en"/>
        </w:rPr>
        <w:t xml:space="preserve">Gomes J, et al (2012) </w:t>
      </w:r>
      <w:proofErr w:type="spellStart"/>
      <w:r w:rsidRPr="001B4442">
        <w:rPr>
          <w:rFonts w:ascii="Arial" w:hAnsi="Arial"/>
          <w:i/>
          <w:sz w:val="18"/>
          <w:szCs w:val="18"/>
          <w:lang w:val="en"/>
        </w:rPr>
        <w:t>Pteridium</w:t>
      </w:r>
      <w:proofErr w:type="spellEnd"/>
      <w:r w:rsidRPr="001B4442">
        <w:rPr>
          <w:rFonts w:ascii="Arial" w:hAnsi="Arial"/>
          <w:i/>
          <w:sz w:val="18"/>
          <w:szCs w:val="18"/>
          <w:lang w:val="en"/>
        </w:rPr>
        <w:t xml:space="preserve"> </w:t>
      </w:r>
      <w:proofErr w:type="spellStart"/>
      <w:r w:rsidRPr="001B4442">
        <w:rPr>
          <w:rFonts w:ascii="Arial" w:hAnsi="Arial"/>
          <w:i/>
          <w:sz w:val="18"/>
          <w:szCs w:val="18"/>
          <w:lang w:val="en"/>
        </w:rPr>
        <w:t>aquilinum</w:t>
      </w:r>
      <w:proofErr w:type="spellEnd"/>
      <w:r w:rsidRPr="001B4442">
        <w:rPr>
          <w:rFonts w:ascii="Arial" w:hAnsi="Arial"/>
          <w:i/>
          <w:sz w:val="18"/>
          <w:szCs w:val="18"/>
          <w:lang w:val="en"/>
        </w:rPr>
        <w:t xml:space="preserve"> and its </w:t>
      </w:r>
      <w:proofErr w:type="spellStart"/>
      <w:r w:rsidRPr="001B4442">
        <w:rPr>
          <w:rFonts w:ascii="Arial" w:hAnsi="Arial"/>
          <w:i/>
          <w:sz w:val="18"/>
          <w:szCs w:val="18"/>
          <w:lang w:val="en"/>
        </w:rPr>
        <w:t>ptaquiloside</w:t>
      </w:r>
      <w:proofErr w:type="spellEnd"/>
      <w:r w:rsidRPr="001B4442">
        <w:rPr>
          <w:rFonts w:ascii="Arial" w:hAnsi="Arial"/>
          <w:i/>
          <w:sz w:val="18"/>
          <w:szCs w:val="18"/>
          <w:lang w:val="en"/>
        </w:rPr>
        <w:t xml:space="preserve"> toxin induce DNA damage response in gastric epithelial cells, a link with gastric carcinogenesis. Toxicological Sciences, </w:t>
      </w:r>
      <w:r w:rsidRPr="001B4442">
        <w:rPr>
          <w:rFonts w:ascii="Arial" w:hAnsi="Arial"/>
          <w:b/>
          <w:i/>
          <w:sz w:val="18"/>
          <w:szCs w:val="18"/>
          <w:lang w:val="en"/>
        </w:rPr>
        <w:t>126 </w:t>
      </w:r>
      <w:r w:rsidRPr="001B4442">
        <w:rPr>
          <w:rFonts w:ascii="Arial" w:hAnsi="Arial"/>
          <w:i/>
          <w:sz w:val="18"/>
          <w:szCs w:val="18"/>
          <w:lang w:val="en"/>
        </w:rPr>
        <w:t>: 60-71.</w:t>
      </w:r>
    </w:p>
    <w:p w14:paraId="1B0460D8" w14:textId="77777777" w:rsidR="00B816A1" w:rsidRPr="005F6A4B" w:rsidRDefault="00B816A1" w:rsidP="00B816A1">
      <w:pPr>
        <w:rPr>
          <w:rFonts w:ascii="Arial" w:hAnsi="Arial"/>
          <w:sz w:val="22"/>
          <w:u w:val="single"/>
          <w:lang w:val="en-US"/>
        </w:rPr>
      </w:pPr>
    </w:p>
    <w:p w14:paraId="12040E0C" w14:textId="77777777" w:rsidR="00B816A1" w:rsidRPr="005F6A4B" w:rsidRDefault="00B816A1" w:rsidP="00B816A1">
      <w:pPr>
        <w:rPr>
          <w:rFonts w:ascii="Arial" w:hAnsi="Arial"/>
          <w:sz w:val="22"/>
          <w:u w:val="single"/>
          <w:lang w:val="en-US"/>
        </w:rPr>
      </w:pPr>
    </w:p>
    <w:p w14:paraId="409B9217" w14:textId="77777777" w:rsidR="00B816A1" w:rsidRPr="005F6A4B" w:rsidRDefault="00B816A1" w:rsidP="00B816A1">
      <w:pPr>
        <w:rPr>
          <w:rFonts w:ascii="Arial" w:hAnsi="Arial"/>
          <w:sz w:val="22"/>
          <w:u w:val="single"/>
          <w:lang w:val="en-US"/>
        </w:rPr>
      </w:pPr>
      <w:r w:rsidRPr="005F6A4B">
        <w:rPr>
          <w:rFonts w:ascii="Arial" w:hAnsi="Arial"/>
          <w:sz w:val="22"/>
          <w:u w:val="single"/>
          <w:lang w:val="en-US"/>
        </w:rPr>
        <w:t>Expected profile of the candidate (optional):</w:t>
      </w:r>
    </w:p>
    <w:p w14:paraId="2B404AE2" w14:textId="77777777" w:rsidR="00B816A1" w:rsidRPr="005F6A4B" w:rsidRDefault="00B816A1" w:rsidP="00B816A1">
      <w:pPr>
        <w:rPr>
          <w:rFonts w:ascii="Arial" w:hAnsi="Arial"/>
          <w:sz w:val="22"/>
          <w:u w:val="single"/>
          <w:lang w:val="en-US"/>
        </w:rPr>
      </w:pPr>
    </w:p>
    <w:p w14:paraId="5C85815D" w14:textId="77777777" w:rsidR="00B816A1" w:rsidRPr="00776402" w:rsidRDefault="00B816A1" w:rsidP="00B816A1">
      <w:pPr>
        <w:rPr>
          <w:rFonts w:ascii="Arial" w:hAnsi="Arial"/>
          <w:sz w:val="22"/>
          <w:lang w:val="en-US"/>
        </w:rPr>
      </w:pPr>
      <w:r w:rsidRPr="00776402">
        <w:rPr>
          <w:rFonts w:ascii="Arial" w:hAnsi="Arial"/>
          <w:sz w:val="22"/>
          <w:lang w:val="en-US"/>
        </w:rPr>
        <w:t>The candidate should have solid knowledge on Microbiology, Molecular and Cellular Biology</w:t>
      </w:r>
      <w:r>
        <w:rPr>
          <w:rFonts w:ascii="Arial" w:hAnsi="Arial"/>
          <w:sz w:val="22"/>
          <w:lang w:val="en-US"/>
        </w:rPr>
        <w:t>,</w:t>
      </w:r>
      <w:r w:rsidRPr="00776402">
        <w:rPr>
          <w:rFonts w:ascii="Arial" w:hAnsi="Arial"/>
          <w:sz w:val="22"/>
          <w:lang w:val="en-US"/>
        </w:rPr>
        <w:t xml:space="preserve"> </w:t>
      </w:r>
      <w:r>
        <w:rPr>
          <w:rFonts w:ascii="Arial" w:hAnsi="Arial"/>
          <w:sz w:val="22"/>
          <w:lang w:val="en-US"/>
        </w:rPr>
        <w:t>Host-pathogens interaction</w:t>
      </w:r>
      <w:r w:rsidRPr="00776402">
        <w:rPr>
          <w:rFonts w:ascii="Arial" w:hAnsi="Arial"/>
          <w:sz w:val="22"/>
          <w:lang w:val="en-US"/>
        </w:rPr>
        <w:t xml:space="preserve">. She/he should be able to work with the mouse model. </w:t>
      </w:r>
    </w:p>
    <w:p w14:paraId="08C0AEA5" w14:textId="77777777" w:rsidR="00B816A1" w:rsidRPr="005F6A4B" w:rsidRDefault="00B816A1" w:rsidP="00B816A1">
      <w:pPr>
        <w:rPr>
          <w:rFonts w:ascii="Arial" w:hAnsi="Arial"/>
          <w:sz w:val="22"/>
          <w:u w:val="single"/>
          <w:lang w:val="en-US"/>
        </w:rPr>
      </w:pPr>
    </w:p>
    <w:p w14:paraId="62F8ABF5" w14:textId="77777777" w:rsidR="00B816A1" w:rsidRPr="005F6A4B" w:rsidRDefault="00B816A1" w:rsidP="00B816A1">
      <w:pPr>
        <w:rPr>
          <w:rFonts w:ascii="Arial" w:hAnsi="Arial"/>
          <w:sz w:val="22"/>
          <w:u w:val="single"/>
          <w:lang w:val="en-US"/>
        </w:rPr>
      </w:pPr>
    </w:p>
    <w:p w14:paraId="3AE3026C" w14:textId="77777777" w:rsidR="00B816A1" w:rsidRPr="00776402" w:rsidRDefault="00B816A1" w:rsidP="00B816A1">
      <w:pPr>
        <w:rPr>
          <w:rFonts w:ascii="Arial" w:hAnsi="Arial"/>
          <w:sz w:val="22"/>
          <w:u w:val="single"/>
          <w:lang w:val="en-US"/>
        </w:rPr>
      </w:pPr>
      <w:r w:rsidRPr="00776402">
        <w:rPr>
          <w:rFonts w:ascii="Arial" w:hAnsi="Arial"/>
          <w:sz w:val="22"/>
          <w:u w:val="single"/>
          <w:lang w:val="en-US"/>
        </w:rPr>
        <w:t>Contact:</w:t>
      </w:r>
    </w:p>
    <w:p w14:paraId="31E0BBE2" w14:textId="77777777" w:rsidR="00B816A1" w:rsidRPr="00776402" w:rsidRDefault="00B816A1" w:rsidP="00B816A1">
      <w:pPr>
        <w:rPr>
          <w:rFonts w:ascii="Arial" w:hAnsi="Arial"/>
          <w:sz w:val="22"/>
          <w:lang w:val="en-US"/>
        </w:rPr>
      </w:pPr>
    </w:p>
    <w:p w14:paraId="15948DFE" w14:textId="77777777" w:rsidR="00B816A1" w:rsidRPr="00776402" w:rsidRDefault="00B816A1" w:rsidP="00B816A1">
      <w:pPr>
        <w:rPr>
          <w:rFonts w:ascii="Arial" w:hAnsi="Arial"/>
          <w:sz w:val="22"/>
          <w:lang w:val="en-US"/>
        </w:rPr>
      </w:pPr>
      <w:proofErr w:type="spellStart"/>
      <w:r w:rsidRPr="00776402">
        <w:rPr>
          <w:rFonts w:ascii="Arial" w:hAnsi="Arial"/>
          <w:sz w:val="22"/>
          <w:lang w:val="en-US"/>
        </w:rPr>
        <w:t>Dr</w:t>
      </w:r>
      <w:proofErr w:type="spellEnd"/>
      <w:r w:rsidRPr="00776402">
        <w:rPr>
          <w:rFonts w:ascii="Arial" w:hAnsi="Arial"/>
          <w:sz w:val="22"/>
          <w:lang w:val="en-US"/>
        </w:rPr>
        <w:t xml:space="preserve"> </w:t>
      </w:r>
      <w:proofErr w:type="spellStart"/>
      <w:r w:rsidRPr="00776402">
        <w:rPr>
          <w:rFonts w:ascii="Arial" w:hAnsi="Arial"/>
          <w:sz w:val="22"/>
          <w:lang w:val="en-US"/>
        </w:rPr>
        <w:t>Eliette</w:t>
      </w:r>
      <w:proofErr w:type="spellEnd"/>
      <w:r w:rsidRPr="00776402">
        <w:rPr>
          <w:rFonts w:ascii="Arial" w:hAnsi="Arial"/>
          <w:sz w:val="22"/>
          <w:lang w:val="en-US"/>
        </w:rPr>
        <w:t xml:space="preserve"> TOUATI</w:t>
      </w:r>
    </w:p>
    <w:p w14:paraId="7F180849" w14:textId="77777777" w:rsidR="00B816A1" w:rsidRPr="00776402" w:rsidRDefault="00B816A1" w:rsidP="00B816A1">
      <w:pPr>
        <w:rPr>
          <w:rFonts w:ascii="Arial" w:hAnsi="Arial"/>
          <w:sz w:val="22"/>
          <w:lang w:val="en-US"/>
        </w:rPr>
      </w:pPr>
      <w:proofErr w:type="spellStart"/>
      <w:r w:rsidRPr="00776402">
        <w:rPr>
          <w:rFonts w:ascii="Arial" w:hAnsi="Arial"/>
          <w:sz w:val="22"/>
          <w:lang w:val="en-US"/>
        </w:rPr>
        <w:t>Institut</w:t>
      </w:r>
      <w:proofErr w:type="spellEnd"/>
      <w:r w:rsidRPr="00776402">
        <w:rPr>
          <w:rFonts w:ascii="Arial" w:hAnsi="Arial"/>
          <w:sz w:val="22"/>
          <w:lang w:val="en-US"/>
        </w:rPr>
        <w:t xml:space="preserve"> Pasteur, </w:t>
      </w:r>
      <w:proofErr w:type="spellStart"/>
      <w:r w:rsidRPr="00776402">
        <w:rPr>
          <w:rFonts w:ascii="Arial" w:hAnsi="Arial"/>
          <w:sz w:val="22"/>
          <w:lang w:val="en-US"/>
        </w:rPr>
        <w:t>Dpt</w:t>
      </w:r>
      <w:proofErr w:type="spellEnd"/>
      <w:r w:rsidRPr="00776402">
        <w:rPr>
          <w:rFonts w:ascii="Arial" w:hAnsi="Arial"/>
          <w:sz w:val="22"/>
          <w:lang w:val="en-US"/>
        </w:rPr>
        <w:t xml:space="preserve"> of Microbiology,</w:t>
      </w:r>
    </w:p>
    <w:p w14:paraId="5802CF81" w14:textId="77777777" w:rsidR="00B816A1" w:rsidRPr="00776402" w:rsidRDefault="00B816A1" w:rsidP="00B816A1">
      <w:pPr>
        <w:rPr>
          <w:rFonts w:ascii="Arial" w:hAnsi="Arial"/>
          <w:sz w:val="22"/>
          <w:lang w:val="en-US"/>
        </w:rPr>
      </w:pPr>
      <w:r w:rsidRPr="00776402">
        <w:rPr>
          <w:rFonts w:ascii="Arial" w:hAnsi="Arial"/>
          <w:sz w:val="22"/>
          <w:lang w:val="en-US"/>
        </w:rPr>
        <w:t>Unit of Helicobacter Pathogenesis,</w:t>
      </w:r>
    </w:p>
    <w:p w14:paraId="7EDF72C8" w14:textId="77777777" w:rsidR="00B816A1" w:rsidRPr="003F6D92" w:rsidRDefault="00B816A1" w:rsidP="00B816A1">
      <w:pPr>
        <w:rPr>
          <w:rFonts w:ascii="Arial" w:hAnsi="Arial"/>
          <w:sz w:val="22"/>
        </w:rPr>
      </w:pPr>
      <w:r w:rsidRPr="003F6D92">
        <w:rPr>
          <w:rFonts w:ascii="Arial" w:hAnsi="Arial"/>
          <w:sz w:val="22"/>
        </w:rPr>
        <w:t>28 Rue du Dr Roux, 75724 Paris cedex 15, France</w:t>
      </w:r>
    </w:p>
    <w:p w14:paraId="5D436A93" w14:textId="77777777" w:rsidR="00B816A1" w:rsidRPr="00776402" w:rsidRDefault="00B816A1" w:rsidP="00B816A1">
      <w:pPr>
        <w:rPr>
          <w:rFonts w:ascii="Arial" w:hAnsi="Arial"/>
          <w:sz w:val="22"/>
          <w:lang w:val="en-US"/>
        </w:rPr>
      </w:pPr>
      <w:r w:rsidRPr="00776402">
        <w:rPr>
          <w:rFonts w:ascii="Arial" w:hAnsi="Arial"/>
          <w:sz w:val="22"/>
          <w:lang w:val="en-US"/>
        </w:rPr>
        <w:t>Tel: 33 1 40 61 37 85</w:t>
      </w:r>
    </w:p>
    <w:p w14:paraId="7E5C766B" w14:textId="77777777" w:rsidR="00B816A1" w:rsidRPr="00776402" w:rsidRDefault="00B816A1" w:rsidP="00B816A1">
      <w:pPr>
        <w:rPr>
          <w:rFonts w:ascii="Arial" w:hAnsi="Arial"/>
          <w:sz w:val="22"/>
          <w:lang w:val="en-US"/>
        </w:rPr>
      </w:pPr>
      <w:r w:rsidRPr="00776402">
        <w:rPr>
          <w:rFonts w:ascii="Arial" w:hAnsi="Arial"/>
          <w:sz w:val="22"/>
          <w:lang w:val="en-US"/>
        </w:rPr>
        <w:t>Email: e</w:t>
      </w:r>
      <w:r>
        <w:rPr>
          <w:rFonts w:ascii="Arial" w:hAnsi="Arial"/>
          <w:sz w:val="22"/>
          <w:lang w:val="en-US"/>
        </w:rPr>
        <w:t>liette.</w:t>
      </w:r>
      <w:r w:rsidRPr="00776402">
        <w:rPr>
          <w:rFonts w:ascii="Arial" w:hAnsi="Arial"/>
          <w:sz w:val="22"/>
          <w:lang w:val="en-US"/>
        </w:rPr>
        <w:t>touati@pasteur.fr</w:t>
      </w:r>
    </w:p>
    <w:p w14:paraId="3C37F217" w14:textId="77777777" w:rsidR="00B816A1" w:rsidRDefault="00B816A1" w:rsidP="00B816A1">
      <w:pPr>
        <w:rPr>
          <w:rFonts w:ascii="Arial" w:hAnsi="Arial"/>
          <w:sz w:val="22"/>
          <w:u w:val="single"/>
          <w:lang w:val="en-US"/>
        </w:rPr>
      </w:pPr>
    </w:p>
    <w:p w14:paraId="494F22B7" w14:textId="77777777" w:rsidR="00B816A1" w:rsidRDefault="00B816A1" w:rsidP="00B816A1">
      <w:pPr>
        <w:rPr>
          <w:rFonts w:ascii="Arial" w:hAnsi="Arial"/>
          <w:sz w:val="22"/>
          <w:u w:val="single"/>
          <w:lang w:val="en-US"/>
        </w:rPr>
      </w:pPr>
    </w:p>
    <w:p w14:paraId="41E9E0A0" w14:textId="77777777" w:rsidR="00DE6622" w:rsidRDefault="00DE6622">
      <w:pPr>
        <w:rPr>
          <w:rFonts w:ascii="Arial" w:hAnsi="Arial"/>
          <w:sz w:val="22"/>
          <w:u w:val="single"/>
          <w:lang w:val="en-US"/>
        </w:rPr>
      </w:pPr>
    </w:p>
    <w:p w14:paraId="445B27FA" w14:textId="77777777" w:rsidR="00DE6622" w:rsidRDefault="00DE6622">
      <w:pPr>
        <w:rPr>
          <w:rFonts w:ascii="Arial" w:hAnsi="Arial"/>
          <w:sz w:val="22"/>
          <w:u w:val="single"/>
          <w:lang w:val="en-US"/>
        </w:rPr>
      </w:pPr>
    </w:p>
    <w:p w14:paraId="78197117" w14:textId="77777777" w:rsidR="00DE6622" w:rsidRDefault="00DE6622">
      <w:pPr>
        <w:rPr>
          <w:rFonts w:ascii="Arial" w:hAnsi="Arial"/>
          <w:sz w:val="22"/>
          <w:u w:val="single"/>
          <w:lang w:val="en-US"/>
        </w:rPr>
      </w:pPr>
    </w:p>
    <w:p w14:paraId="0314864E" w14:textId="77777777" w:rsidR="00DE6622" w:rsidRDefault="00DE6622">
      <w:pPr>
        <w:rPr>
          <w:rFonts w:ascii="Arial" w:hAnsi="Arial"/>
          <w:sz w:val="22"/>
          <w:u w:val="single"/>
          <w:lang w:val="en-US"/>
        </w:rPr>
      </w:pPr>
    </w:p>
    <w:p w14:paraId="087A5E08" w14:textId="77777777" w:rsidR="00176274" w:rsidRDefault="00176274">
      <w:pPr>
        <w:rPr>
          <w:rFonts w:ascii="Arial" w:hAnsi="Arial"/>
          <w:lang w:val="en-US"/>
        </w:rPr>
      </w:pPr>
    </w:p>
    <w:sectPr w:rsidR="00176274" w:rsidSect="000A7158">
      <w:pgSz w:w="11900" w:h="16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ＭＳ ゴシック">
    <w:charset w:val="80"/>
    <w:family w:val="swiss"/>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ＭＳ 明朝">
    <w:charset w:val="80"/>
    <w:family w:val="roma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BB5C4A1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Wingdings"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C5E7613"/>
    <w:multiLevelType w:val="hybridMultilevel"/>
    <w:tmpl w:val="04CC5C6E"/>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
    <w:nsid w:val="1F4268E6"/>
    <w:multiLevelType w:val="hybridMultilevel"/>
    <w:tmpl w:val="306601DE"/>
    <w:lvl w:ilvl="0" w:tplc="040C000F">
      <w:start w:val="1"/>
      <w:numFmt w:val="decimal"/>
      <w:lvlText w:val="%1."/>
      <w:lvlJc w:val="left"/>
      <w:pPr>
        <w:ind w:left="720" w:hanging="360"/>
      </w:pPr>
      <w:rPr>
        <w:rFonts w:hint="default"/>
      </w:rPr>
    </w:lvl>
    <w:lvl w:ilvl="1" w:tplc="2098B76E">
      <w:start w:val="4"/>
      <w:numFmt w:val="bullet"/>
      <w:lvlText w:val="-"/>
      <w:lvlJc w:val="left"/>
      <w:pPr>
        <w:ind w:left="1440" w:hanging="360"/>
      </w:pPr>
      <w:rPr>
        <w:rFonts w:ascii="Arial" w:eastAsia="Times New Roman" w:hAnsi="Arial" w:cs="Arial" w:hint="default"/>
        <w:sz w:val="22"/>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30266E49"/>
    <w:multiLevelType w:val="hybridMultilevel"/>
    <w:tmpl w:val="72FED4F6"/>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66B8643B"/>
    <w:multiLevelType w:val="hybridMultilevel"/>
    <w:tmpl w:val="E6B44AC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7CA346B0"/>
    <w:multiLevelType w:val="hybridMultilevel"/>
    <w:tmpl w:val="EF1EDF64"/>
    <w:lvl w:ilvl="0" w:tplc="8B5CD3C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7DB54D2E"/>
    <w:multiLevelType w:val="multilevel"/>
    <w:tmpl w:val="EF1EDF6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4"/>
  </w:num>
  <w:num w:numId="3">
    <w:abstractNumId w:val="5"/>
  </w:num>
  <w:num w:numId="4">
    <w:abstractNumId w:val="6"/>
  </w:num>
  <w:num w:numId="5">
    <w:abstractNumId w:val="2"/>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6B2"/>
    <w:rsid w:val="00032983"/>
    <w:rsid w:val="00040F91"/>
    <w:rsid w:val="00042D78"/>
    <w:rsid w:val="00062A63"/>
    <w:rsid w:val="000A7158"/>
    <w:rsid w:val="000B0AE9"/>
    <w:rsid w:val="00147A7F"/>
    <w:rsid w:val="001645DA"/>
    <w:rsid w:val="00176274"/>
    <w:rsid w:val="001A133F"/>
    <w:rsid w:val="001B4442"/>
    <w:rsid w:val="00220BE1"/>
    <w:rsid w:val="00295B64"/>
    <w:rsid w:val="002A492D"/>
    <w:rsid w:val="002E641F"/>
    <w:rsid w:val="00346BCF"/>
    <w:rsid w:val="00371880"/>
    <w:rsid w:val="003E3A0F"/>
    <w:rsid w:val="00420552"/>
    <w:rsid w:val="004530E5"/>
    <w:rsid w:val="004860CA"/>
    <w:rsid w:val="004B36F6"/>
    <w:rsid w:val="004B58A5"/>
    <w:rsid w:val="00511855"/>
    <w:rsid w:val="00513D28"/>
    <w:rsid w:val="00573110"/>
    <w:rsid w:val="00591207"/>
    <w:rsid w:val="00593162"/>
    <w:rsid w:val="0059605C"/>
    <w:rsid w:val="005B3A3D"/>
    <w:rsid w:val="005D3184"/>
    <w:rsid w:val="00685BE4"/>
    <w:rsid w:val="0072417F"/>
    <w:rsid w:val="00735834"/>
    <w:rsid w:val="00755F33"/>
    <w:rsid w:val="007F3B5F"/>
    <w:rsid w:val="008D1B32"/>
    <w:rsid w:val="008D2805"/>
    <w:rsid w:val="00A03DE0"/>
    <w:rsid w:val="00A376B2"/>
    <w:rsid w:val="00AC305B"/>
    <w:rsid w:val="00AC797B"/>
    <w:rsid w:val="00B816A1"/>
    <w:rsid w:val="00BE1C3A"/>
    <w:rsid w:val="00C17B5D"/>
    <w:rsid w:val="00C71DE7"/>
    <w:rsid w:val="00CE4BFC"/>
    <w:rsid w:val="00D14BA6"/>
    <w:rsid w:val="00D959D9"/>
    <w:rsid w:val="00DB5096"/>
    <w:rsid w:val="00DE6622"/>
    <w:rsid w:val="00DF041C"/>
    <w:rsid w:val="00E16322"/>
    <w:rsid w:val="00F91327"/>
    <w:rsid w:val="00F93C01"/>
    <w:rsid w:val="00FE42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21D4111E"/>
  <w14:defaultImageDpi w14:val="300"/>
  <w15:docId w15:val="{EEB551E1-A002-4A00-9EFD-92757BBE4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435DA"/>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443AE"/>
    <w:rPr>
      <w:rFonts w:ascii="Lucida Grande" w:hAnsi="Lucida Grande" w:cs="Lucida Grande"/>
      <w:sz w:val="18"/>
      <w:szCs w:val="18"/>
    </w:rPr>
  </w:style>
  <w:style w:type="character" w:customStyle="1" w:styleId="TextedebullesCar">
    <w:name w:val="Texte de bulles Car"/>
    <w:link w:val="Textedebulles"/>
    <w:uiPriority w:val="99"/>
    <w:semiHidden/>
    <w:rsid w:val="008443AE"/>
    <w:rPr>
      <w:rFonts w:ascii="Lucida Grande" w:hAnsi="Lucida Grande" w:cs="Lucida Grande"/>
      <w:sz w:val="18"/>
      <w:szCs w:val="18"/>
    </w:rPr>
  </w:style>
  <w:style w:type="table" w:styleId="Grilledutableau">
    <w:name w:val="Table Grid"/>
    <w:basedOn w:val="TableauNormal"/>
    <w:uiPriority w:val="59"/>
    <w:rsid w:val="00CE4B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uiPriority w:val="99"/>
    <w:unhideWhenUsed/>
    <w:rsid w:val="00D959D9"/>
    <w:rPr>
      <w:color w:val="0000FF"/>
      <w:u w:val="single"/>
    </w:rPr>
  </w:style>
  <w:style w:type="character" w:styleId="Lienhypertextevisit">
    <w:name w:val="FollowedHyperlink"/>
    <w:basedOn w:val="Policepardfaut"/>
    <w:uiPriority w:val="99"/>
    <w:semiHidden/>
    <w:unhideWhenUsed/>
    <w:rsid w:val="00295B64"/>
    <w:rPr>
      <w:color w:val="800080" w:themeColor="followedHyperlink"/>
      <w:u w:val="single"/>
    </w:rPr>
  </w:style>
  <w:style w:type="character" w:styleId="Emphase">
    <w:name w:val="Emphasis"/>
    <w:basedOn w:val="Policepardfaut"/>
    <w:uiPriority w:val="20"/>
    <w:qFormat/>
    <w:rsid w:val="00B816A1"/>
    <w:rPr>
      <w:i/>
      <w:iCs/>
    </w:rPr>
  </w:style>
  <w:style w:type="paragraph" w:styleId="Pardeliste">
    <w:name w:val="List Paragraph"/>
    <w:basedOn w:val="Normal"/>
    <w:uiPriority w:val="34"/>
    <w:qFormat/>
    <w:rsid w:val="00B816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111753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pasteur.fr/en/research/microbiology/units-groups/helicobacter-pathogenesis"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1221</Words>
  <Characters>6721</Characters>
  <Application>Microsoft Macintosh Word</Application>
  <DocSecurity>0</DocSecurity>
  <Lines>56</Lines>
  <Paragraphs>15</Paragraphs>
  <ScaleCrop>false</ScaleCrop>
  <HeadingPairs>
    <vt:vector size="2" baseType="variant">
      <vt:variant>
        <vt:lpstr>Titre</vt:lpstr>
      </vt:variant>
      <vt:variant>
        <vt:i4>1</vt:i4>
      </vt:variant>
    </vt:vector>
  </HeadingPairs>
  <TitlesOfParts>
    <vt:vector size="1" baseType="lpstr">
      <vt:lpstr>Application form (Part V)</vt:lpstr>
    </vt:vector>
  </TitlesOfParts>
  <Company>Institut Pasteur</Company>
  <LinksUpToDate>false</LinksUpToDate>
  <CharactersWithSpaces>7927</CharactersWithSpaces>
  <SharedDoc>false</SharedDoc>
  <HLinks>
    <vt:vector size="6" baseType="variant">
      <vt:variant>
        <vt:i4>7471118</vt:i4>
      </vt:variant>
      <vt:variant>
        <vt:i4>0</vt:i4>
      </vt:variant>
      <vt:variant>
        <vt:i4>0</vt:i4>
      </vt:variant>
      <vt:variant>
        <vt:i4>5</vt:i4>
      </vt:variant>
      <vt:variant>
        <vt:lpwstr>http://www.pasteur.fr/doctoralpositions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(Part V)</dc:title>
  <dc:subject/>
  <dc:creator>Institut Pasteur</dc:creator>
  <cp:keywords/>
  <cp:lastModifiedBy>Utilisateur de Microsoft Office</cp:lastModifiedBy>
  <cp:revision>6</cp:revision>
  <cp:lastPrinted>2012-09-10T13:24:00Z</cp:lastPrinted>
  <dcterms:created xsi:type="dcterms:W3CDTF">2017-08-17T12:42:00Z</dcterms:created>
  <dcterms:modified xsi:type="dcterms:W3CDTF">2017-09-08T10:09:00Z</dcterms:modified>
</cp:coreProperties>
</file>