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13" w:rsidRPr="00D338BB" w:rsidRDefault="003D0F13">
      <w:pPr>
        <w:rPr>
          <w:rFonts w:ascii="Calibri" w:eastAsia="Times New Roman" w:hAnsi="Calibri" w:cs="Calibri"/>
          <w:color w:val="000000" w:themeColor="text1"/>
          <w:sz w:val="22"/>
          <w:szCs w:val="22"/>
          <w:lang w:eastAsia="fr-FR"/>
        </w:rPr>
      </w:pPr>
    </w:p>
    <w:p w:rsidR="00BA7370" w:rsidRDefault="00BA7370">
      <w:pPr>
        <w:rPr>
          <w:rFonts w:ascii="Calibri" w:eastAsia="Times New Roman" w:hAnsi="Calibri" w:cs="Calibri"/>
          <w:b/>
          <w:bCs/>
          <w:lang w:eastAsia="fr-FR"/>
        </w:rPr>
      </w:pPr>
      <w:r>
        <w:rPr>
          <w:rFonts w:ascii="Calibri" w:eastAsia="Times New Roman" w:hAnsi="Calibri" w:cs="Calibri"/>
          <w:b/>
          <w:bCs/>
          <w:color w:val="000000"/>
          <w:lang w:eastAsia="fr-FR"/>
        </w:rPr>
        <w:t xml:space="preserve">Partie de page </w:t>
      </w:r>
      <w:hyperlink r:id="rId7" w:history="1">
        <w:r w:rsidRPr="00BA7370">
          <w:rPr>
            <w:rStyle w:val="Lienhypertexte"/>
            <w:rFonts w:ascii="Calibri" w:eastAsia="Times New Roman" w:hAnsi="Calibri" w:cs="Calibri"/>
            <w:b/>
            <w:bCs/>
            <w:lang w:eastAsia="fr-FR"/>
          </w:rPr>
          <w:t>du CNR/Web externe </w:t>
        </w:r>
      </w:hyperlink>
      <w:r w:rsidRPr="00BA7370">
        <w:rPr>
          <w:rStyle w:val="Lienhypertexte"/>
        </w:rPr>
        <w:t xml:space="preserve"> </w:t>
      </w:r>
      <w:r>
        <w:rPr>
          <w:rStyle w:val="Lienhypertexte"/>
        </w:rPr>
        <w:t>[</w:t>
      </w:r>
      <w:r w:rsidRPr="00BA7370">
        <w:rPr>
          <w:rStyle w:val="Lienhypertexte"/>
        </w:rPr>
        <w:t>https://www.pasteur.fr/fr/sante-publique/CNR/les-cnr/corynebacteries-du-complexe-diphteriae/envoyer-un-echantillon</w:t>
      </w:r>
      <w:r>
        <w:rPr>
          <w:rStyle w:val="Lienhypertexte"/>
        </w:rPr>
        <w:t xml:space="preserve">]  </w:t>
      </w:r>
      <w:r w:rsidRPr="00BA7370">
        <w:rPr>
          <w:rStyle w:val="Lienhypertexte"/>
          <w:color w:val="auto"/>
          <w:u w:val="none"/>
        </w:rPr>
        <w:t>à modifier</w:t>
      </w:r>
      <w:r>
        <w:rPr>
          <w:rFonts w:ascii="Calibri" w:eastAsia="Times New Roman" w:hAnsi="Calibri" w:cs="Calibri"/>
          <w:b/>
          <w:bCs/>
          <w:lang w:eastAsia="fr-FR"/>
        </w:rPr>
        <w:t> :</w:t>
      </w:r>
    </w:p>
    <w:p w:rsidR="00BA7370" w:rsidRPr="00BA7370" w:rsidRDefault="00BA7370">
      <w:pPr>
        <w:rPr>
          <w:rFonts w:ascii="Calibri" w:eastAsia="Times New Roman" w:hAnsi="Calibri" w:cs="Calibri"/>
          <w:b/>
          <w:bCs/>
          <w:lang w:eastAsia="fr-FR"/>
        </w:rPr>
      </w:pPr>
    </w:p>
    <w:p w:rsidR="00BA7370" w:rsidRDefault="00BA7370">
      <w:pPr>
        <w:rPr>
          <w:rFonts w:ascii="Calibri" w:eastAsia="Times New Roman" w:hAnsi="Calibri" w:cs="Calibri"/>
          <w:b/>
          <w:bCs/>
          <w:color w:val="000000"/>
          <w:lang w:eastAsia="fr-FR"/>
        </w:rPr>
      </w:pPr>
      <w:r w:rsidRPr="00BA7370">
        <w:rPr>
          <w:rFonts w:ascii="Calibri" w:eastAsia="Times New Roman" w:hAnsi="Calibri" w:cs="Calibri"/>
          <w:b/>
          <w:bCs/>
          <w:noProof/>
          <w:color w:val="000000"/>
          <w:lang w:eastAsia="fr-FR"/>
        </w:rPr>
        <w:drawing>
          <wp:inline distT="0" distB="0" distL="0" distR="0">
            <wp:extent cx="5756910" cy="1959088"/>
            <wp:effectExtent l="0" t="0" r="0" b="3175"/>
            <wp:docPr id="1" name="Image 1" descr="C:\Users\imoulher\Desktop\PartieAModifiersurCNRCorynebacteriesduComplexDiphtheri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ulher\Desktop\PartieAModifiersurCNRCorynebacteriesduComplexDiphtheria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959088"/>
                    </a:xfrm>
                    <a:prstGeom prst="rect">
                      <a:avLst/>
                    </a:prstGeom>
                    <a:noFill/>
                    <a:ln>
                      <a:noFill/>
                    </a:ln>
                  </pic:spPr>
                </pic:pic>
              </a:graphicData>
            </a:graphic>
          </wp:inline>
        </w:drawing>
      </w:r>
    </w:p>
    <w:p w:rsidR="00BA7370" w:rsidRDefault="00BA7370">
      <w:pPr>
        <w:rPr>
          <w:rFonts w:ascii="Calibri" w:eastAsia="Times New Roman" w:hAnsi="Calibri" w:cs="Calibri"/>
          <w:b/>
          <w:bCs/>
          <w:color w:val="000000"/>
          <w:lang w:eastAsia="fr-FR"/>
        </w:rPr>
      </w:pPr>
    </w:p>
    <w:p w:rsidR="00BA7370" w:rsidRDefault="002E2DF5">
      <w:pP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Remplacer le point 2 cité ci-dessus par </w:t>
      </w:r>
      <w:r w:rsidR="00BA7370">
        <w:rPr>
          <w:rFonts w:ascii="Calibri" w:eastAsia="Times New Roman" w:hAnsi="Calibri" w:cs="Calibri"/>
          <w:b/>
          <w:bCs/>
          <w:color w:val="000000"/>
          <w:lang w:eastAsia="fr-FR"/>
        </w:rPr>
        <w:t>:</w:t>
      </w:r>
    </w:p>
    <w:p w:rsidR="002E2DF5" w:rsidRDefault="002E2DF5">
      <w:pPr>
        <w:rPr>
          <w:rFonts w:ascii="Calibri" w:eastAsia="Times New Roman" w:hAnsi="Calibri" w:cs="Calibri"/>
          <w:b/>
          <w:bCs/>
          <w:color w:val="000000"/>
          <w:lang w:eastAsia="fr-FR"/>
        </w:rPr>
      </w:pPr>
    </w:p>
    <w:p w:rsidR="002E2DF5" w:rsidRPr="009677ED" w:rsidRDefault="002E2DF5" w:rsidP="002E2DF5">
      <w:pPr>
        <w:numPr>
          <w:ilvl w:val="0"/>
          <w:numId w:val="5"/>
        </w:numPr>
        <w:spacing w:before="100" w:beforeAutospacing="1" w:after="100" w:afterAutospacing="1"/>
        <w:rPr>
          <w:rFonts w:ascii="Arial" w:eastAsia="Times New Roman" w:hAnsi="Arial" w:cs="Arial"/>
          <w:b/>
          <w:bCs/>
          <w:color w:val="414144"/>
          <w:sz w:val="27"/>
          <w:szCs w:val="27"/>
          <w:lang w:eastAsia="fr-FR"/>
        </w:rPr>
      </w:pPr>
      <w:r w:rsidRPr="009677ED">
        <w:rPr>
          <w:rFonts w:ascii="Arial" w:eastAsia="Times New Roman" w:hAnsi="Arial" w:cs="Arial"/>
          <w:b/>
          <w:bCs/>
          <w:color w:val="414144"/>
          <w:sz w:val="27"/>
          <w:szCs w:val="27"/>
          <w:lang w:eastAsia="fr-FR"/>
        </w:rPr>
        <w:t xml:space="preserve">Envoyer un échantillon/un isolat au CNR des </w:t>
      </w:r>
      <w:proofErr w:type="spellStart"/>
      <w:r w:rsidRPr="009677ED">
        <w:rPr>
          <w:rFonts w:ascii="Arial" w:eastAsia="Times New Roman" w:hAnsi="Arial" w:cs="Arial"/>
          <w:b/>
          <w:bCs/>
          <w:color w:val="414144"/>
          <w:sz w:val="27"/>
          <w:szCs w:val="27"/>
          <w:lang w:eastAsia="fr-FR"/>
        </w:rPr>
        <w:t>Corynebactéries</w:t>
      </w:r>
      <w:proofErr w:type="spellEnd"/>
      <w:r w:rsidRPr="009677ED">
        <w:rPr>
          <w:rFonts w:ascii="Arial" w:eastAsia="Times New Roman" w:hAnsi="Arial" w:cs="Arial"/>
          <w:b/>
          <w:bCs/>
          <w:color w:val="414144"/>
          <w:sz w:val="27"/>
          <w:szCs w:val="27"/>
          <w:lang w:eastAsia="fr-FR"/>
        </w:rPr>
        <w:t xml:space="preserve"> du complexe diphtheriae</w:t>
      </w:r>
    </w:p>
    <w:p w:rsidR="002E2DF5" w:rsidRPr="009677ED" w:rsidRDefault="002E2DF5" w:rsidP="002E2DF5">
      <w:pPr>
        <w:jc w:val="both"/>
        <w:rPr>
          <w:rFonts w:ascii="Arial" w:eastAsia="Times New Roman" w:hAnsi="Arial" w:cs="Arial"/>
          <w:color w:val="414144"/>
          <w:sz w:val="27"/>
          <w:szCs w:val="27"/>
          <w:lang w:eastAsia="fr-FR"/>
        </w:rPr>
      </w:pPr>
      <w:r w:rsidRPr="009677ED">
        <w:rPr>
          <w:rFonts w:ascii="Arial" w:eastAsia="Times New Roman" w:hAnsi="Arial" w:cs="Arial"/>
          <w:color w:val="414144"/>
          <w:sz w:val="27"/>
          <w:szCs w:val="27"/>
          <w:lang w:eastAsia="fr-FR"/>
        </w:rPr>
        <w:t>En cas d’identification d’un isolat de </w:t>
      </w:r>
      <w:r w:rsidRPr="009677ED">
        <w:rPr>
          <w:rFonts w:ascii="Arial" w:eastAsia="Times New Roman" w:hAnsi="Arial" w:cs="Arial"/>
          <w:i/>
          <w:iCs/>
          <w:color w:val="414144"/>
          <w:sz w:val="27"/>
          <w:szCs w:val="27"/>
          <w:lang w:eastAsia="fr-FR"/>
        </w:rPr>
        <w:t xml:space="preserve">C. diphtheriae, C. </w:t>
      </w:r>
      <w:proofErr w:type="spellStart"/>
      <w:r w:rsidRPr="009677ED">
        <w:rPr>
          <w:rFonts w:ascii="Arial" w:eastAsia="Times New Roman" w:hAnsi="Arial" w:cs="Arial"/>
          <w:i/>
          <w:iCs/>
          <w:color w:val="414144"/>
          <w:sz w:val="27"/>
          <w:szCs w:val="27"/>
          <w:lang w:eastAsia="fr-FR"/>
        </w:rPr>
        <w:t>belfantii</w:t>
      </w:r>
      <w:proofErr w:type="spellEnd"/>
      <w:r w:rsidRPr="009677ED">
        <w:rPr>
          <w:rFonts w:ascii="Arial" w:eastAsia="Times New Roman" w:hAnsi="Arial" w:cs="Arial"/>
          <w:i/>
          <w:iCs/>
          <w:color w:val="414144"/>
          <w:sz w:val="27"/>
          <w:szCs w:val="27"/>
          <w:lang w:eastAsia="fr-FR"/>
        </w:rPr>
        <w:t xml:space="preserve">, C. </w:t>
      </w:r>
      <w:proofErr w:type="spellStart"/>
      <w:r w:rsidRPr="009677ED">
        <w:rPr>
          <w:rFonts w:ascii="Arial" w:eastAsia="Times New Roman" w:hAnsi="Arial" w:cs="Arial"/>
          <w:i/>
          <w:iCs/>
          <w:color w:val="414144"/>
          <w:sz w:val="27"/>
          <w:szCs w:val="27"/>
          <w:lang w:eastAsia="fr-FR"/>
        </w:rPr>
        <w:t>rouxii</w:t>
      </w:r>
      <w:proofErr w:type="spellEnd"/>
      <w:r w:rsidRPr="009677ED">
        <w:rPr>
          <w:rFonts w:ascii="Arial" w:eastAsia="Times New Roman" w:hAnsi="Arial" w:cs="Arial"/>
          <w:i/>
          <w:iCs/>
          <w:color w:val="414144"/>
          <w:sz w:val="27"/>
          <w:szCs w:val="27"/>
          <w:lang w:eastAsia="fr-FR"/>
        </w:rPr>
        <w:t xml:space="preserve">, C. </w:t>
      </w:r>
      <w:proofErr w:type="spellStart"/>
      <w:r w:rsidRPr="009677ED">
        <w:rPr>
          <w:rFonts w:ascii="Arial" w:eastAsia="Times New Roman" w:hAnsi="Arial" w:cs="Arial"/>
          <w:i/>
          <w:iCs/>
          <w:color w:val="414144"/>
          <w:sz w:val="27"/>
          <w:szCs w:val="27"/>
          <w:lang w:eastAsia="fr-FR"/>
        </w:rPr>
        <w:t>ulcerans</w:t>
      </w:r>
      <w:proofErr w:type="spellEnd"/>
      <w:r w:rsidRPr="009677ED">
        <w:rPr>
          <w:rFonts w:ascii="Arial" w:eastAsia="Times New Roman" w:hAnsi="Arial" w:cs="Arial"/>
          <w:i/>
          <w:iCs/>
          <w:color w:val="414144"/>
          <w:sz w:val="27"/>
          <w:szCs w:val="27"/>
          <w:lang w:eastAsia="fr-FR"/>
        </w:rPr>
        <w:t xml:space="preserve"> ou C. </w:t>
      </w:r>
      <w:proofErr w:type="spellStart"/>
      <w:r w:rsidRPr="009677ED">
        <w:rPr>
          <w:rFonts w:ascii="Arial" w:eastAsia="Times New Roman" w:hAnsi="Arial" w:cs="Arial"/>
          <w:i/>
          <w:iCs/>
          <w:color w:val="414144"/>
          <w:sz w:val="27"/>
          <w:szCs w:val="27"/>
          <w:lang w:eastAsia="fr-FR"/>
        </w:rPr>
        <w:t>pseudotuberculosis</w:t>
      </w:r>
      <w:proofErr w:type="spellEnd"/>
      <w:r w:rsidRPr="009677ED">
        <w:rPr>
          <w:rFonts w:ascii="Arial" w:eastAsia="Times New Roman" w:hAnsi="Arial" w:cs="Arial"/>
          <w:color w:val="414144"/>
          <w:sz w:val="27"/>
          <w:szCs w:val="27"/>
          <w:lang w:eastAsia="fr-FR"/>
        </w:rPr>
        <w:t xml:space="preserve">, l’échantillon doit être envoyé le plus rapidement possible au CNR, pour recherche du gène </w:t>
      </w:r>
      <w:proofErr w:type="spellStart"/>
      <w:r w:rsidRPr="009677ED">
        <w:rPr>
          <w:rFonts w:ascii="Arial" w:eastAsia="Times New Roman" w:hAnsi="Arial" w:cs="Arial"/>
          <w:color w:val="414144"/>
          <w:sz w:val="27"/>
          <w:szCs w:val="27"/>
          <w:lang w:eastAsia="fr-FR"/>
        </w:rPr>
        <w:t>tox</w:t>
      </w:r>
      <w:proofErr w:type="spellEnd"/>
      <w:r w:rsidRPr="009677ED">
        <w:rPr>
          <w:rFonts w:ascii="Arial" w:eastAsia="Times New Roman" w:hAnsi="Arial" w:cs="Arial"/>
          <w:color w:val="414144"/>
          <w:sz w:val="27"/>
          <w:szCs w:val="27"/>
          <w:lang w:eastAsia="fr-FR"/>
        </w:rPr>
        <w:t xml:space="preserve"> cod</w:t>
      </w:r>
      <w:r>
        <w:rPr>
          <w:rFonts w:ascii="Arial" w:eastAsia="Times New Roman" w:hAnsi="Arial" w:cs="Arial"/>
          <w:color w:val="414144"/>
          <w:sz w:val="27"/>
          <w:szCs w:val="27"/>
          <w:lang w:eastAsia="fr-FR"/>
        </w:rPr>
        <w:t xml:space="preserve">ant pour la toxine diphtérique. </w:t>
      </w:r>
      <w:r w:rsidRPr="009677ED">
        <w:rPr>
          <w:rFonts w:ascii="Arial" w:eastAsia="Times New Roman" w:hAnsi="Arial" w:cs="Arial"/>
          <w:color w:val="414144"/>
          <w:sz w:val="27"/>
          <w:szCs w:val="27"/>
          <w:lang w:eastAsia="fr-FR"/>
        </w:rPr>
        <w:t>Une confirmation</w:t>
      </w:r>
      <w:r>
        <w:rPr>
          <w:rFonts w:ascii="Arial" w:eastAsia="Times New Roman" w:hAnsi="Arial" w:cs="Arial"/>
          <w:color w:val="414144"/>
          <w:sz w:val="27"/>
          <w:szCs w:val="27"/>
          <w:lang w:eastAsia="fr-FR"/>
        </w:rPr>
        <w:t xml:space="preserve"> de l’identification sera </w:t>
      </w:r>
      <w:r w:rsidRPr="009677ED">
        <w:rPr>
          <w:rFonts w:ascii="Arial" w:eastAsia="Times New Roman" w:hAnsi="Arial" w:cs="Arial"/>
          <w:color w:val="414144"/>
          <w:sz w:val="27"/>
          <w:szCs w:val="27"/>
          <w:lang w:eastAsia="fr-FR"/>
        </w:rPr>
        <w:t>également réalisée au</w:t>
      </w:r>
      <w:r>
        <w:rPr>
          <w:rFonts w:ascii="Arial" w:eastAsia="Times New Roman" w:hAnsi="Arial" w:cs="Arial"/>
          <w:color w:val="414144"/>
          <w:sz w:val="27"/>
          <w:szCs w:val="27"/>
          <w:lang w:eastAsia="fr-FR"/>
        </w:rPr>
        <w:t> </w:t>
      </w:r>
      <w:r w:rsidRPr="009677ED">
        <w:rPr>
          <w:rFonts w:ascii="Arial" w:eastAsia="Times New Roman" w:hAnsi="Arial" w:cs="Arial"/>
          <w:color w:val="414144"/>
          <w:sz w:val="27"/>
          <w:szCs w:val="27"/>
          <w:lang w:eastAsia="fr-FR"/>
        </w:rPr>
        <w:t>CNR.</w:t>
      </w:r>
      <w:r>
        <w:rPr>
          <w:rFonts w:ascii="Arial" w:eastAsia="Times New Roman" w:hAnsi="Arial" w:cs="Arial"/>
          <w:color w:val="414144"/>
          <w:sz w:val="27"/>
          <w:szCs w:val="27"/>
          <w:lang w:eastAsia="fr-FR"/>
        </w:rPr>
        <w:t> </w:t>
      </w:r>
      <w:r w:rsidRPr="009677ED">
        <w:rPr>
          <w:rFonts w:ascii="Arial" w:eastAsia="Times New Roman" w:hAnsi="Arial" w:cs="Arial"/>
          <w:color w:val="414144"/>
          <w:sz w:val="27"/>
          <w:szCs w:val="27"/>
          <w:lang w:eastAsia="fr-FR"/>
        </w:rPr>
        <w:br/>
        <w:t>Merci de noter que </w:t>
      </w:r>
      <w:r w:rsidRPr="009677ED">
        <w:rPr>
          <w:rFonts w:ascii="Arial" w:eastAsia="Times New Roman" w:hAnsi="Arial" w:cs="Arial"/>
          <w:color w:val="414144"/>
          <w:sz w:val="27"/>
          <w:szCs w:val="27"/>
          <w:u w:val="single"/>
          <w:lang w:eastAsia="fr-FR"/>
        </w:rPr>
        <w:t>le CNR ne fait pas de sérologie</w:t>
      </w:r>
      <w:r w:rsidRPr="009677ED">
        <w:rPr>
          <w:rFonts w:ascii="Arial" w:eastAsia="Times New Roman" w:hAnsi="Arial" w:cs="Arial"/>
          <w:color w:val="414144"/>
          <w:sz w:val="27"/>
          <w:szCs w:val="27"/>
          <w:lang w:eastAsia="fr-FR"/>
        </w:rPr>
        <w:t>. Pour le dosage des anticorps antitoxine, merci de vous adresser à un laboratoire d’analyse médicale.</w:t>
      </w:r>
    </w:p>
    <w:p w:rsidR="002E2DF5" w:rsidRDefault="002E2DF5" w:rsidP="002E2DF5">
      <w:pPr>
        <w:jc w:val="both"/>
        <w:rPr>
          <w:rFonts w:ascii="Arial" w:eastAsia="Times New Roman" w:hAnsi="Arial" w:cs="Arial"/>
          <w:color w:val="414144"/>
          <w:sz w:val="27"/>
          <w:szCs w:val="27"/>
          <w:lang w:eastAsia="fr-FR"/>
        </w:rPr>
      </w:pPr>
      <w:r w:rsidRPr="009677ED">
        <w:rPr>
          <w:rFonts w:ascii="Arial" w:eastAsia="Times New Roman" w:hAnsi="Arial" w:cs="Arial"/>
          <w:color w:val="414144"/>
          <w:sz w:val="27"/>
          <w:szCs w:val="27"/>
          <w:lang w:eastAsia="fr-FR"/>
        </w:rPr>
        <w:t>Merci de noter également que </w:t>
      </w:r>
      <w:r w:rsidRPr="009677ED">
        <w:rPr>
          <w:rFonts w:ascii="Arial" w:eastAsia="Times New Roman" w:hAnsi="Arial" w:cs="Arial"/>
          <w:color w:val="414144"/>
          <w:sz w:val="27"/>
          <w:szCs w:val="27"/>
          <w:u w:val="single"/>
          <w:lang w:eastAsia="fr-FR"/>
        </w:rPr>
        <w:t>les prélèvements de suivi (patients et leurs contacts) ne doivent pas être envoyés au CNR</w:t>
      </w:r>
      <w:r w:rsidRPr="009677ED">
        <w:rPr>
          <w:rFonts w:ascii="Arial" w:eastAsia="Times New Roman" w:hAnsi="Arial" w:cs="Arial"/>
          <w:color w:val="414144"/>
          <w:sz w:val="27"/>
          <w:szCs w:val="27"/>
          <w:lang w:eastAsia="fr-FR"/>
        </w:rPr>
        <w:t>, mais à un laboratoire local, qui enverra au CNR les éventuelles souches détectées comme appartenant au complexe diphtheriae.   </w:t>
      </w:r>
    </w:p>
    <w:p w:rsidR="002E2DF5" w:rsidRPr="009677ED" w:rsidRDefault="002E2DF5" w:rsidP="002E2DF5">
      <w:pPr>
        <w:jc w:val="both"/>
        <w:rPr>
          <w:rFonts w:ascii="Arial" w:eastAsia="Times New Roman" w:hAnsi="Arial" w:cs="Arial"/>
          <w:color w:val="414144"/>
          <w:sz w:val="27"/>
          <w:szCs w:val="27"/>
          <w:lang w:eastAsia="fr-FR"/>
        </w:rPr>
      </w:pPr>
    </w:p>
    <w:p w:rsidR="002E2DF5" w:rsidRPr="009677ED" w:rsidRDefault="002E2DF5" w:rsidP="002E2DF5">
      <w:pPr>
        <w:jc w:val="both"/>
        <w:rPr>
          <w:rFonts w:ascii="Arial" w:eastAsia="Times New Roman" w:hAnsi="Arial" w:cs="Arial"/>
          <w:b/>
          <w:bCs/>
          <w:color w:val="414144"/>
          <w:sz w:val="27"/>
          <w:szCs w:val="27"/>
          <w:lang w:eastAsia="fr-FR"/>
        </w:rPr>
      </w:pPr>
      <w:r w:rsidRPr="009677ED">
        <w:rPr>
          <w:rFonts w:ascii="Arial" w:eastAsia="Times New Roman" w:hAnsi="Arial" w:cs="Arial"/>
          <w:b/>
          <w:bCs/>
          <w:color w:val="414144"/>
          <w:sz w:val="27"/>
          <w:szCs w:val="27"/>
          <w:lang w:eastAsia="fr-FR"/>
        </w:rPr>
        <w:t>Le CNR prend en charge l’analyse de prélèvements (cas cliniques urgents) ou isolats bactériens aux conditions suivantes :</w:t>
      </w:r>
    </w:p>
    <w:p w:rsidR="002E2DF5" w:rsidRPr="009677ED" w:rsidRDefault="002E2DF5" w:rsidP="002E2DF5">
      <w:pPr>
        <w:pStyle w:val="Paragraphedeliste"/>
        <w:numPr>
          <w:ilvl w:val="0"/>
          <w:numId w:val="3"/>
        </w:numPr>
        <w:spacing w:before="120" w:beforeAutospacing="0" w:after="120" w:afterAutospacing="0"/>
        <w:jc w:val="both"/>
        <w:rPr>
          <w:rFonts w:ascii="Arial" w:hAnsi="Arial" w:cs="Arial"/>
          <w:color w:val="414144"/>
          <w:sz w:val="27"/>
          <w:szCs w:val="27"/>
        </w:rPr>
      </w:pPr>
      <w:r w:rsidRPr="009677ED">
        <w:rPr>
          <w:rFonts w:ascii="Arial" w:hAnsi="Arial" w:cs="Arial"/>
          <w:color w:val="414144"/>
          <w:sz w:val="27"/>
          <w:szCs w:val="27"/>
        </w:rPr>
        <w:t>Les isolats et prélèvements doivent être envoyés en respectant la température de transport (voir tableau ci-dessous) et placés dans un triple emballage respectant la législation en vigueur.</w:t>
      </w:r>
    </w:p>
    <w:p w:rsidR="002E2DF5" w:rsidRDefault="002E2DF5" w:rsidP="002E2DF5">
      <w:pPr>
        <w:spacing w:before="120" w:after="120"/>
        <w:ind w:left="360"/>
        <w:jc w:val="both"/>
        <w:rPr>
          <w:rFonts w:ascii="-webkit-standard" w:hAnsi="-webkit-standard"/>
          <w:color w:val="000000"/>
        </w:rPr>
      </w:pPr>
    </w:p>
    <w:p w:rsidR="002E2DF5" w:rsidRPr="009677ED" w:rsidRDefault="002E2DF5" w:rsidP="002E2DF5">
      <w:pPr>
        <w:numPr>
          <w:ilvl w:val="0"/>
          <w:numId w:val="3"/>
        </w:numPr>
        <w:spacing w:before="120" w:after="120"/>
        <w:jc w:val="both"/>
        <w:rPr>
          <w:rFonts w:ascii="Arial" w:eastAsia="Times New Roman" w:hAnsi="Arial" w:cs="Arial"/>
          <w:color w:val="414144"/>
          <w:sz w:val="27"/>
          <w:szCs w:val="27"/>
          <w:lang w:eastAsia="fr-FR"/>
        </w:rPr>
      </w:pPr>
      <w:r w:rsidRPr="009677ED">
        <w:rPr>
          <w:rFonts w:ascii="Arial" w:eastAsia="Times New Roman" w:hAnsi="Arial" w:cs="Arial"/>
          <w:color w:val="414144"/>
          <w:sz w:val="27"/>
          <w:szCs w:val="27"/>
          <w:lang w:eastAsia="fr-FR"/>
        </w:rPr>
        <w:t>Les échantillons doivent être accompagnés de leur</w:t>
      </w:r>
      <w:r>
        <w:rPr>
          <w:rFonts w:ascii="Calibri" w:eastAsia="Times New Roman" w:hAnsi="Calibri" w:cs="Calibri"/>
          <w:iCs/>
          <w:color w:val="000000"/>
          <w:lang w:eastAsia="fr-FR"/>
        </w:rPr>
        <w:t xml:space="preserve">  </w:t>
      </w:r>
      <w:hyperlink r:id="rId9" w:tgtFrame="_blank" w:history="1">
        <w:r w:rsidRPr="00F859E3">
          <w:rPr>
            <w:rFonts w:ascii="Arial" w:hAnsi="Arial" w:cs="Arial"/>
            <w:color w:val="2D96FA"/>
            <w:sz w:val="27"/>
            <w:szCs w:val="27"/>
          </w:rPr>
          <w:t>fiche de renseignement</w:t>
        </w:r>
      </w:hyperlink>
      <w:r>
        <w:rPr>
          <w:rFonts w:ascii="Arial" w:hAnsi="Arial" w:cs="Arial"/>
          <w:color w:val="2D96FA"/>
          <w:sz w:val="27"/>
          <w:szCs w:val="27"/>
        </w:rPr>
        <w:t>s</w:t>
      </w:r>
      <w:r w:rsidRPr="009677ED">
        <w:rPr>
          <w:rFonts w:ascii="Arial" w:eastAsia="Times New Roman" w:hAnsi="Arial" w:cs="Arial"/>
          <w:i/>
          <w:iCs/>
          <w:color w:val="2D96FA"/>
          <w:sz w:val="27"/>
          <w:szCs w:val="27"/>
          <w:lang w:eastAsia="fr-FR"/>
        </w:rPr>
        <w:t>.</w:t>
      </w:r>
      <w:r>
        <w:rPr>
          <w:rFonts w:ascii="Calibri" w:eastAsia="Times New Roman" w:hAnsi="Calibri" w:cs="Calibri"/>
          <w:iCs/>
          <w:color w:val="000000"/>
          <w:lang w:eastAsia="fr-FR"/>
        </w:rPr>
        <w:t> C</w:t>
      </w:r>
      <w:r w:rsidRPr="009677ED">
        <w:rPr>
          <w:rFonts w:ascii="Arial" w:eastAsia="Times New Roman" w:hAnsi="Arial" w:cs="Arial"/>
          <w:color w:val="414144"/>
          <w:sz w:val="27"/>
          <w:szCs w:val="27"/>
          <w:lang w:eastAsia="fr-FR"/>
        </w:rPr>
        <w:t xml:space="preserve">elle-ci doit impérativement accompagner tout isolat et/ou prélèvement envoyé au CNR et doit être remplie aussi complètement et aussi précisément que possible. La gratuité des </w:t>
      </w:r>
      <w:r w:rsidRPr="009677ED">
        <w:rPr>
          <w:rFonts w:ascii="Arial" w:eastAsia="Times New Roman" w:hAnsi="Arial" w:cs="Arial"/>
          <w:color w:val="414144"/>
          <w:sz w:val="27"/>
          <w:szCs w:val="27"/>
          <w:lang w:eastAsia="fr-FR"/>
        </w:rPr>
        <w:lastRenderedPageBreak/>
        <w:t>analyses sur isolats ou prélèvements humains, vétérinaires ou autres est sous-tendue par la présence d’une fiche de renseignements correctement remplie.</w:t>
      </w:r>
    </w:p>
    <w:p w:rsidR="002E2DF5" w:rsidRPr="009677ED" w:rsidRDefault="002E2DF5" w:rsidP="002E2DF5">
      <w:pPr>
        <w:spacing w:before="120" w:after="120"/>
        <w:ind w:left="360"/>
        <w:jc w:val="both"/>
        <w:rPr>
          <w:rFonts w:ascii="Arial" w:eastAsia="Times New Roman" w:hAnsi="Arial" w:cs="Arial"/>
          <w:color w:val="414144"/>
          <w:sz w:val="27"/>
          <w:szCs w:val="27"/>
          <w:lang w:eastAsia="fr-FR"/>
        </w:rPr>
      </w:pPr>
    </w:p>
    <w:p w:rsidR="002E2DF5" w:rsidRPr="009677ED" w:rsidRDefault="002E2DF5" w:rsidP="002E2DF5">
      <w:pPr>
        <w:numPr>
          <w:ilvl w:val="0"/>
          <w:numId w:val="3"/>
        </w:numPr>
        <w:spacing w:before="120" w:after="120"/>
        <w:jc w:val="both"/>
        <w:rPr>
          <w:rFonts w:ascii="Calibri" w:eastAsia="Times New Roman" w:hAnsi="Calibri" w:cs="Calibri"/>
          <w:color w:val="000000"/>
          <w:lang w:eastAsia="fr-FR"/>
        </w:rPr>
      </w:pPr>
      <w:r w:rsidRPr="009677ED">
        <w:rPr>
          <w:rFonts w:ascii="Arial" w:eastAsia="Times New Roman" w:hAnsi="Arial" w:cs="Arial"/>
          <w:color w:val="414144"/>
          <w:sz w:val="27"/>
          <w:szCs w:val="27"/>
          <w:lang w:eastAsia="fr-FR"/>
        </w:rPr>
        <w:t>Avant le rendu de résultats, le CNR devra s’assurer de votre adresse électronique par convention de preuve. Si vous avez une adresse mail non répertoriée au CNR (envoi d’un échantillon au CNR pour la première fois, ou vous êtes un nouveau biologiste ou avez changé</w:t>
      </w:r>
      <w:r w:rsidRPr="009677ED">
        <w:rPr>
          <w:rFonts w:ascii="Calibri" w:eastAsia="Times New Roman" w:hAnsi="Calibri" w:cs="Calibri"/>
          <w:color w:val="000000"/>
          <w:lang w:eastAsia="fr-FR"/>
        </w:rPr>
        <w:t xml:space="preserve"> </w:t>
      </w:r>
      <w:r w:rsidRPr="009677ED">
        <w:rPr>
          <w:rFonts w:ascii="Arial" w:eastAsia="Times New Roman" w:hAnsi="Arial" w:cs="Arial"/>
          <w:color w:val="414144"/>
          <w:sz w:val="27"/>
          <w:szCs w:val="27"/>
          <w:lang w:eastAsia="fr-FR"/>
        </w:rPr>
        <w:t>d’adresse mail), merci d</w:t>
      </w:r>
      <w:bookmarkStart w:id="0" w:name="_GoBack"/>
      <w:bookmarkEnd w:id="0"/>
      <w:r w:rsidRPr="009677ED">
        <w:rPr>
          <w:rFonts w:ascii="Arial" w:eastAsia="Times New Roman" w:hAnsi="Arial" w:cs="Arial"/>
          <w:color w:val="414144"/>
          <w:sz w:val="27"/>
          <w:szCs w:val="27"/>
          <w:lang w:eastAsia="fr-FR"/>
        </w:rPr>
        <w:t>e remplir et de nous envoyer la</w:t>
      </w:r>
      <w:r w:rsidRPr="009677ED">
        <w:rPr>
          <w:rFonts w:ascii="Calibri" w:eastAsia="Times New Roman" w:hAnsi="Calibri" w:cs="Calibri"/>
          <w:color w:val="000000"/>
          <w:lang w:eastAsia="fr-FR"/>
        </w:rPr>
        <w:t> </w:t>
      </w:r>
      <w:r w:rsidRPr="00F859E3">
        <w:rPr>
          <w:rFonts w:ascii="Arial" w:hAnsi="Arial" w:cs="Arial"/>
          <w:color w:val="2D96FA"/>
          <w:sz w:val="27"/>
          <w:szCs w:val="27"/>
        </w:rPr>
        <w:t>convention de preuve </w:t>
      </w:r>
      <w:r w:rsidRPr="00F859E3">
        <w:rPr>
          <w:rFonts w:ascii="Arial" w:eastAsia="Times New Roman" w:hAnsi="Arial" w:cs="Arial"/>
          <w:color w:val="414144"/>
          <w:sz w:val="27"/>
          <w:szCs w:val="27"/>
          <w:lang w:eastAsia="fr-FR"/>
        </w:rPr>
        <w:t>signée. Sans ce document, nous ne pourr</w:t>
      </w:r>
      <w:r w:rsidRPr="009677ED">
        <w:rPr>
          <w:rFonts w:ascii="Arial" w:eastAsia="Times New Roman" w:hAnsi="Arial" w:cs="Arial"/>
          <w:color w:val="414144"/>
          <w:sz w:val="27"/>
          <w:szCs w:val="27"/>
          <w:lang w:eastAsia="fr-FR"/>
        </w:rPr>
        <w:t>ons pas vous faire parvenir votre résultat.</w:t>
      </w:r>
      <w:r w:rsidRPr="009677ED">
        <w:rPr>
          <w:rFonts w:ascii="Calibri" w:eastAsia="Times New Roman" w:hAnsi="Calibri" w:cs="Calibri"/>
          <w:color w:val="000000"/>
          <w:lang w:eastAsia="fr-FR"/>
        </w:rPr>
        <w:t> </w:t>
      </w:r>
    </w:p>
    <w:p w:rsidR="00BA7370" w:rsidRDefault="00BA7370">
      <w:pPr>
        <w:rPr>
          <w:rFonts w:ascii="Calibri" w:eastAsia="Times New Roman" w:hAnsi="Calibri" w:cs="Calibri"/>
          <w:b/>
          <w:bCs/>
          <w:color w:val="000000"/>
          <w:lang w:eastAsia="fr-FR"/>
        </w:rPr>
      </w:pPr>
    </w:p>
    <w:sectPr w:rsidR="00BA7370" w:rsidSect="001E1CCD">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97" w:rsidRDefault="00797F97" w:rsidP="00D338BB">
      <w:r>
        <w:separator/>
      </w:r>
    </w:p>
  </w:endnote>
  <w:endnote w:type="continuationSeparator" w:id="0">
    <w:p w:rsidR="00797F97" w:rsidRDefault="00797F97" w:rsidP="00D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kit-standard">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97" w:rsidRDefault="00797F97" w:rsidP="00D338BB">
      <w:r>
        <w:separator/>
      </w:r>
    </w:p>
  </w:footnote>
  <w:footnote w:type="continuationSeparator" w:id="0">
    <w:p w:rsidR="00797F97" w:rsidRDefault="00797F97" w:rsidP="00D3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BB" w:rsidRPr="002E2DF5" w:rsidRDefault="002E2DF5" w:rsidP="00C07D60">
    <w:pPr>
      <w:pStyle w:val="En-tte"/>
      <w:jc w:val="center"/>
      <w:rPr>
        <w:b/>
        <w:i/>
      </w:rPr>
    </w:pPr>
    <w:r>
      <w:rPr>
        <w:b/>
      </w:rPr>
      <w:t xml:space="preserve">CNR des </w:t>
    </w:r>
    <w:proofErr w:type="spellStart"/>
    <w:r>
      <w:rPr>
        <w:b/>
      </w:rPr>
      <w:t>Corynebacté</w:t>
    </w:r>
    <w:r w:rsidR="00D338BB" w:rsidRPr="00C07D60">
      <w:rPr>
        <w:b/>
      </w:rPr>
      <w:t>ries</w:t>
    </w:r>
    <w:proofErr w:type="spellEnd"/>
    <w:r w:rsidR="00D338BB" w:rsidRPr="00C07D60">
      <w:rPr>
        <w:b/>
      </w:rPr>
      <w:t xml:space="preserve"> </w:t>
    </w:r>
    <w:r w:rsidR="00C07D60" w:rsidRPr="00C07D60">
      <w:rPr>
        <w:b/>
      </w:rPr>
      <w:t xml:space="preserve">du complexe </w:t>
    </w:r>
    <w:r w:rsidR="00C07D60" w:rsidRPr="002E2DF5">
      <w:rPr>
        <w:b/>
        <w:i/>
      </w:rPr>
      <w:t>diphtheriae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E24"/>
    <w:multiLevelType w:val="hybridMultilevel"/>
    <w:tmpl w:val="E3D892B4"/>
    <w:lvl w:ilvl="0" w:tplc="941442B0">
      <w:numFmt w:val="bullet"/>
      <w:lvlText w:val="•"/>
      <w:lvlJc w:val="left"/>
      <w:pPr>
        <w:ind w:left="720" w:hanging="360"/>
      </w:pPr>
      <w:rPr>
        <w:rFonts w:ascii="-webkit-standard" w:eastAsia="Times New Roman" w:hAnsi="-webkit-stand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D31A15"/>
    <w:multiLevelType w:val="multilevel"/>
    <w:tmpl w:val="7BC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5108FA"/>
    <w:multiLevelType w:val="hybridMultilevel"/>
    <w:tmpl w:val="10E20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F933BE"/>
    <w:multiLevelType w:val="multilevel"/>
    <w:tmpl w:val="DE026FA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72A32A74"/>
    <w:multiLevelType w:val="multilevel"/>
    <w:tmpl w:val="A58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13"/>
    <w:rsid w:val="001E1CCD"/>
    <w:rsid w:val="002E2DF5"/>
    <w:rsid w:val="003D0F13"/>
    <w:rsid w:val="0078223A"/>
    <w:rsid w:val="00797F97"/>
    <w:rsid w:val="008D085B"/>
    <w:rsid w:val="0093193A"/>
    <w:rsid w:val="00AB6D4F"/>
    <w:rsid w:val="00BA7370"/>
    <w:rsid w:val="00BD032D"/>
    <w:rsid w:val="00BD2C50"/>
    <w:rsid w:val="00C07D60"/>
    <w:rsid w:val="00D33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6186"/>
  <w15:chartTrackingRefBased/>
  <w15:docId w15:val="{5771736F-DF4B-E145-A445-D8927989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D0F13"/>
  </w:style>
  <w:style w:type="paragraph" w:styleId="NormalWeb">
    <w:name w:val="Normal (Web)"/>
    <w:basedOn w:val="Normal"/>
    <w:uiPriority w:val="99"/>
    <w:semiHidden/>
    <w:unhideWhenUsed/>
    <w:rsid w:val="003D0F1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D0F13"/>
    <w:rPr>
      <w:b/>
      <w:bCs/>
    </w:rPr>
  </w:style>
  <w:style w:type="character" w:styleId="Accentuation">
    <w:name w:val="Emphasis"/>
    <w:basedOn w:val="Policepardfaut"/>
    <w:uiPriority w:val="20"/>
    <w:qFormat/>
    <w:rsid w:val="003D0F13"/>
    <w:rPr>
      <w:i/>
      <w:iCs/>
    </w:rPr>
  </w:style>
  <w:style w:type="character" w:styleId="Lienhypertexte">
    <w:name w:val="Hyperlink"/>
    <w:basedOn w:val="Policepardfaut"/>
    <w:uiPriority w:val="99"/>
    <w:unhideWhenUsed/>
    <w:rsid w:val="003D0F13"/>
    <w:rPr>
      <w:color w:val="0000FF"/>
      <w:u w:val="single"/>
    </w:rPr>
  </w:style>
  <w:style w:type="paragraph" w:styleId="Paragraphedeliste">
    <w:name w:val="List Paragraph"/>
    <w:basedOn w:val="Normal"/>
    <w:uiPriority w:val="34"/>
    <w:qFormat/>
    <w:rsid w:val="003D0F13"/>
    <w:pPr>
      <w:spacing w:before="100" w:beforeAutospacing="1" w:after="100" w:afterAutospacing="1"/>
    </w:pPr>
    <w:rPr>
      <w:rFonts w:ascii="Times New Roman" w:eastAsia="Times New Roman" w:hAnsi="Times New Roman" w:cs="Times New Roman"/>
      <w:lang w:eastAsia="fr-FR"/>
    </w:rPr>
  </w:style>
  <w:style w:type="character" w:customStyle="1" w:styleId="UnresolvedMention">
    <w:name w:val="Unresolved Mention"/>
    <w:basedOn w:val="Policepardfaut"/>
    <w:uiPriority w:val="99"/>
    <w:semiHidden/>
    <w:unhideWhenUsed/>
    <w:rsid w:val="00AB6D4F"/>
    <w:rPr>
      <w:color w:val="605E5C"/>
      <w:shd w:val="clear" w:color="auto" w:fill="E1DFDD"/>
    </w:rPr>
  </w:style>
  <w:style w:type="character" w:styleId="Lienhypertextesuivivisit">
    <w:name w:val="FollowedHyperlink"/>
    <w:basedOn w:val="Policepardfaut"/>
    <w:uiPriority w:val="99"/>
    <w:semiHidden/>
    <w:unhideWhenUsed/>
    <w:rsid w:val="00BA7370"/>
    <w:rPr>
      <w:color w:val="954F72" w:themeColor="followedHyperlink"/>
      <w:u w:val="single"/>
    </w:rPr>
  </w:style>
  <w:style w:type="paragraph" w:styleId="En-tte">
    <w:name w:val="header"/>
    <w:basedOn w:val="Normal"/>
    <w:link w:val="En-tteCar"/>
    <w:uiPriority w:val="99"/>
    <w:unhideWhenUsed/>
    <w:rsid w:val="00D338BB"/>
    <w:pPr>
      <w:tabs>
        <w:tab w:val="center" w:pos="4536"/>
        <w:tab w:val="right" w:pos="9072"/>
      </w:tabs>
    </w:pPr>
  </w:style>
  <w:style w:type="character" w:customStyle="1" w:styleId="En-tteCar">
    <w:name w:val="En-tête Car"/>
    <w:basedOn w:val="Policepardfaut"/>
    <w:link w:val="En-tte"/>
    <w:uiPriority w:val="99"/>
    <w:rsid w:val="00D338BB"/>
  </w:style>
  <w:style w:type="paragraph" w:styleId="Pieddepage">
    <w:name w:val="footer"/>
    <w:basedOn w:val="Normal"/>
    <w:link w:val="PieddepageCar"/>
    <w:uiPriority w:val="99"/>
    <w:unhideWhenUsed/>
    <w:rsid w:val="00D338BB"/>
    <w:pPr>
      <w:tabs>
        <w:tab w:val="center" w:pos="4536"/>
        <w:tab w:val="right" w:pos="9072"/>
      </w:tabs>
    </w:pPr>
  </w:style>
  <w:style w:type="character" w:customStyle="1" w:styleId="PieddepageCar">
    <w:name w:val="Pied de page Car"/>
    <w:basedOn w:val="Policepardfaut"/>
    <w:link w:val="Pieddepage"/>
    <w:uiPriority w:val="99"/>
    <w:rsid w:val="00D3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83864">
      <w:bodyDiv w:val="1"/>
      <w:marLeft w:val="0"/>
      <w:marRight w:val="0"/>
      <w:marTop w:val="0"/>
      <w:marBottom w:val="0"/>
      <w:divBdr>
        <w:top w:val="none" w:sz="0" w:space="0" w:color="auto"/>
        <w:left w:val="none" w:sz="0" w:space="0" w:color="auto"/>
        <w:bottom w:val="none" w:sz="0" w:space="0" w:color="auto"/>
        <w:right w:val="none" w:sz="0" w:space="0" w:color="auto"/>
      </w:divBdr>
      <w:divsChild>
        <w:div w:id="1869291789">
          <w:marLeft w:val="0"/>
          <w:marRight w:val="0"/>
          <w:marTop w:val="0"/>
          <w:marBottom w:val="0"/>
          <w:divBdr>
            <w:top w:val="none" w:sz="0" w:space="0" w:color="auto"/>
            <w:left w:val="none" w:sz="0" w:space="0" w:color="auto"/>
            <w:bottom w:val="single" w:sz="8" w:space="1" w:color="auto"/>
            <w:right w:val="none" w:sz="0" w:space="0" w:color="auto"/>
          </w:divBdr>
        </w:div>
        <w:div w:id="1560706769">
          <w:marLeft w:val="36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asteur.fr/fr/sante-publique/CNR/les-cnr/corynebacteries-du-complexe-diphteriae/envoyer-un-echantill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steur.fr/fr/file/30887/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  MOULHERAT</cp:lastModifiedBy>
  <cp:revision>2</cp:revision>
  <dcterms:created xsi:type="dcterms:W3CDTF">2021-01-12T12:22:00Z</dcterms:created>
  <dcterms:modified xsi:type="dcterms:W3CDTF">2021-01-12T12:22:00Z</dcterms:modified>
</cp:coreProperties>
</file>